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版本号：ZCZX2025-CS-06520250515001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陕西省“十五五”铁路发展规划研究项目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ZCZX2025-CS-065</w:t>
      </w:r>
      <w:r>
        <w:br/>
      </w:r>
      <w:r>
        <w:br/>
      </w:r>
      <w:r>
        <w:br/>
      </w:r>
    </w:p>
    <w:p>
      <w:pPr>
        <w:pStyle w:val="null3"/>
        <w:jc w:val="center"/>
        <w:outlineLvl w:val="2"/>
      </w:pPr>
      <w:r>
        <w:rPr>
          <w:rFonts w:ascii="仿宋_GB2312" w:hAnsi="仿宋_GB2312" w:cs="仿宋_GB2312" w:eastAsia="仿宋_GB2312"/>
          <w:sz w:val="28"/>
          <w:b/>
        </w:rPr>
        <w:t>陕西省交通运输厅机关</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陕西省交通运输厅机关</w:t>
      </w:r>
      <w:r>
        <w:rPr>
          <w:rFonts w:ascii="仿宋_GB2312" w:hAnsi="仿宋_GB2312" w:cs="仿宋_GB2312" w:eastAsia="仿宋_GB2312"/>
        </w:rPr>
        <w:t>委托，拟对</w:t>
      </w:r>
      <w:r>
        <w:rPr>
          <w:rFonts w:ascii="仿宋_GB2312" w:hAnsi="仿宋_GB2312" w:cs="仿宋_GB2312" w:eastAsia="仿宋_GB2312"/>
        </w:rPr>
        <w:t>陕西省“十五五”铁路发展规划研究项目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ZCZX2025-CS-065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陕西省“十五五”铁路发展规划研究项目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总结评估陕西省铁路发展现状、存在主要问题，分析研判面临的形势与要求，结合产业布局，预测“十五五”期铁路客货运输需求，科学谋划建设项目，论证建设必要性和时序安排，提出对策建议和保障措施；调研借鉴全国各省主要经验做法，梳理地方铁路、专用铁路、铁路专用线的工程质量安全、运输安全监管体制，提出符合陕西实际的管理对策与建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及授权代表本单位证明：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陕西省交通运输厅机关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强老师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029-88869630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高蕊玲、吴芳超、孟凌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收费标准：参照国家计委关于印发《招标代理服务收费管理暂行办法》的通知（计价格〔2002〕1980号）、《国家发展和改革委员会办公厅关于招标代理服务收费有关问题的通知》（发改办价格〔2003〕857号）规定，下浮5%向中标（成交）供应商收取代理服务费。 2、成交单位的代理服务费交纳信息 银行户名：陕西众诚致信管理咨询有限公司 开户银行：北京银行股份有限公司西安分行营业部 账 号：20000042729000032633420 联系人：范道宏 联系电话：029-89565528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陕西省交通运输厅机关</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陕西省交通运输厅机关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陕西省交通运输厅机关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与竞争性磋商文件要求一致或优于竞争性磋商文件要求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联系人：高蕊玲、吴芳超、孟凌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总结评估陕西省铁路发展现状、存在主要问题，分析研判面临的形势与要求，结合产业布局，预测</w:t>
      </w:r>
      <w:r>
        <w:rPr>
          <w:rFonts w:ascii="仿宋_GB2312" w:hAnsi="仿宋_GB2312" w:cs="仿宋_GB2312" w:eastAsia="仿宋_GB2312"/>
          <w:sz w:val="24"/>
        </w:rPr>
        <w:t>“十五五”期铁路客货运输需求，科学谋划建设项目，论证建设必要性和时序安排，提出对策建议和保障措施；调研借鉴全国各省主要经验做法，梳理地方铁路、专用铁路、铁路专用线的工程质量安全、运输安全监管体制，提出符合陕西实际的管理对策与建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陕西省“十五五”铁路发展规划研究项目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900000</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标的名称：陕西省“十五五”铁路发展规划研究项目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pPr>
            <w:r>
              <w:rPr>
                <w:rFonts w:ascii="仿宋_GB2312" w:hAnsi="仿宋_GB2312" w:cs="仿宋_GB2312" w:eastAsia="仿宋_GB2312"/>
                <w:sz w:val="24"/>
                <w:b/>
              </w:rPr>
              <w:t>一、采购内容</w:t>
            </w:r>
          </w:p>
          <w:p>
            <w:pPr>
              <w:pStyle w:val="null3"/>
              <w:ind w:firstLine="480"/>
            </w:pPr>
            <w:r>
              <w:rPr>
                <w:rFonts w:ascii="仿宋_GB2312" w:hAnsi="仿宋_GB2312" w:cs="仿宋_GB2312" w:eastAsia="仿宋_GB2312"/>
                <w:sz w:val="24"/>
              </w:rPr>
              <w:t>研究编制《陕西省</w:t>
            </w:r>
            <w:r>
              <w:rPr>
                <w:rFonts w:ascii="仿宋_GB2312" w:hAnsi="仿宋_GB2312" w:cs="仿宋_GB2312" w:eastAsia="仿宋_GB2312"/>
                <w:sz w:val="24"/>
              </w:rPr>
              <w:t>“十五五”铁路发展规划》</w:t>
            </w:r>
            <w:r>
              <w:rPr>
                <w:rFonts w:ascii="仿宋_GB2312" w:hAnsi="仿宋_GB2312" w:cs="仿宋_GB2312" w:eastAsia="仿宋_GB2312"/>
                <w:sz w:val="21"/>
                <w:color w:val="333333"/>
                <w:shd w:fill="FFFFFF" w:val="clear"/>
              </w:rPr>
              <w:t>。</w:t>
            </w:r>
          </w:p>
          <w:p>
            <w:pPr>
              <w:pStyle w:val="null3"/>
              <w:numPr>
                <w:ilvl w:val="0"/>
                <w:numId w:val="1"/>
              </w:numPr>
            </w:pPr>
            <w:r>
              <w:rPr>
                <w:rFonts w:ascii="仿宋_GB2312" w:hAnsi="仿宋_GB2312" w:cs="仿宋_GB2312" w:eastAsia="仿宋_GB2312"/>
                <w:sz w:val="24"/>
                <w:b/>
              </w:rPr>
              <w:t>二、主要功能或目标</w:t>
            </w:r>
          </w:p>
          <w:p>
            <w:pPr>
              <w:pStyle w:val="null3"/>
              <w:ind w:firstLine="480"/>
            </w:pPr>
            <w:r>
              <w:rPr>
                <w:rFonts w:ascii="仿宋_GB2312" w:hAnsi="仿宋_GB2312" w:cs="仿宋_GB2312" w:eastAsia="仿宋_GB2312"/>
                <w:sz w:val="24"/>
              </w:rPr>
              <w:t>贯彻落实《交通强国建设纲要》《国家综合立体交通网规划纲要》以及省委、省政府和交通运输部关于</w:t>
            </w:r>
            <w:r>
              <w:rPr>
                <w:rFonts w:ascii="仿宋_GB2312" w:hAnsi="仿宋_GB2312" w:cs="仿宋_GB2312" w:eastAsia="仿宋_GB2312"/>
                <w:sz w:val="24"/>
              </w:rPr>
              <w:t>“十五五”规划编制工作的总体部署，</w:t>
            </w:r>
            <w:r>
              <w:rPr>
                <w:rFonts w:ascii="仿宋_GB2312" w:hAnsi="仿宋_GB2312" w:cs="仿宋_GB2312" w:eastAsia="仿宋_GB2312"/>
                <w:sz w:val="24"/>
              </w:rPr>
              <w:t>全面评价全省铁路发展现状、分析发展形势与需求，科学谋划</w:t>
            </w:r>
            <w:r>
              <w:rPr>
                <w:rFonts w:ascii="仿宋_GB2312" w:hAnsi="仿宋_GB2312" w:cs="仿宋_GB2312" w:eastAsia="仿宋_GB2312"/>
                <w:sz w:val="24"/>
              </w:rPr>
              <w:t>“十五五”建设项目，研究提出适合陕西实际的地方铁路、专用铁路、</w:t>
            </w:r>
            <w:r>
              <w:rPr>
                <w:rFonts w:ascii="仿宋_GB2312" w:hAnsi="仿宋_GB2312" w:cs="仿宋_GB2312" w:eastAsia="仿宋_GB2312"/>
                <w:sz w:val="24"/>
                <w:color w:val="000000"/>
              </w:rPr>
              <w:t>铁路</w:t>
            </w:r>
            <w:r>
              <w:rPr>
                <w:rFonts w:ascii="仿宋_GB2312" w:hAnsi="仿宋_GB2312" w:cs="仿宋_GB2312" w:eastAsia="仿宋_GB2312"/>
                <w:sz w:val="24"/>
              </w:rPr>
              <w:t>专用线的工程质量安全、运输安全监管体制机制，为构建现代化综合交通运输体系提供坚实的铁路运输支撑。</w:t>
            </w:r>
          </w:p>
          <w:p>
            <w:pPr>
              <w:pStyle w:val="null3"/>
              <w:numPr>
                <w:ilvl w:val="0"/>
                <w:numId w:val="1"/>
              </w:numPr>
            </w:pPr>
            <w:r>
              <w:rPr>
                <w:rFonts w:ascii="仿宋_GB2312" w:hAnsi="仿宋_GB2312" w:cs="仿宋_GB2312" w:eastAsia="仿宋_GB2312"/>
                <w:sz w:val="24"/>
                <w:b/>
              </w:rPr>
              <w:t>三、规划内容要求</w:t>
            </w:r>
          </w:p>
          <w:p>
            <w:pPr>
              <w:pStyle w:val="null3"/>
              <w:ind w:firstLine="480"/>
            </w:pPr>
            <w:r>
              <w:rPr>
                <w:rFonts w:ascii="仿宋_GB2312" w:hAnsi="仿宋_GB2312" w:cs="仿宋_GB2312" w:eastAsia="仿宋_GB2312"/>
                <w:sz w:val="24"/>
              </w:rPr>
              <w:t>总结评估全省铁路发展现状、存在主要问题，分析研判面临的形势与要求，紧扣全省铁路发展的阶段性特征</w:t>
            </w:r>
            <w:r>
              <w:rPr>
                <w:rFonts w:ascii="仿宋_GB2312" w:hAnsi="仿宋_GB2312" w:cs="仿宋_GB2312" w:eastAsia="仿宋_GB2312"/>
                <w:sz w:val="21"/>
                <w:color w:val="333333"/>
                <w:shd w:fill="FFFFFF" w:val="clear"/>
              </w:rPr>
              <w:t>，</w:t>
            </w:r>
            <w:r>
              <w:rPr>
                <w:rFonts w:ascii="仿宋_GB2312" w:hAnsi="仿宋_GB2312" w:cs="仿宋_GB2312" w:eastAsia="仿宋_GB2312"/>
                <w:sz w:val="24"/>
              </w:rPr>
              <w:t>结合产业布局，预测</w:t>
            </w:r>
            <w:r>
              <w:rPr>
                <w:rFonts w:ascii="仿宋_GB2312" w:hAnsi="仿宋_GB2312" w:cs="仿宋_GB2312" w:eastAsia="仿宋_GB2312"/>
                <w:sz w:val="24"/>
              </w:rPr>
              <w:t>“十五五”期铁路客货运输需求，科学谋划“十五期”推进实施高铁、普速以及支线铁路建设项目，论证建设必要性和时序安排，提出实施方案和保障措施，以及运输服务提升、绿色低碳发展等方面的任务举措；分析行业规章制度要求，梳理借鉴全国各省</w:t>
            </w:r>
            <w:r>
              <w:rPr>
                <w:rFonts w:ascii="仿宋_GB2312" w:hAnsi="仿宋_GB2312" w:cs="仿宋_GB2312" w:eastAsia="仿宋_GB2312"/>
                <w:sz w:val="24"/>
              </w:rPr>
              <w:t>地方铁路、专用铁路、</w:t>
            </w:r>
            <w:r>
              <w:rPr>
                <w:rFonts w:ascii="仿宋_GB2312" w:hAnsi="仿宋_GB2312" w:cs="仿宋_GB2312" w:eastAsia="仿宋_GB2312"/>
                <w:sz w:val="24"/>
                <w:color w:val="000000"/>
              </w:rPr>
              <w:t>铁路</w:t>
            </w:r>
            <w:r>
              <w:rPr>
                <w:rFonts w:ascii="仿宋_GB2312" w:hAnsi="仿宋_GB2312" w:cs="仿宋_GB2312" w:eastAsia="仿宋_GB2312"/>
                <w:sz w:val="24"/>
              </w:rPr>
              <w:t>专用线的工程质量安全、运输安全监管体制</w:t>
            </w:r>
            <w:r>
              <w:rPr>
                <w:rFonts w:ascii="仿宋_GB2312" w:hAnsi="仿宋_GB2312" w:cs="仿宋_GB2312" w:eastAsia="仿宋_GB2312"/>
                <w:sz w:val="24"/>
              </w:rPr>
              <w:t>，厘清职责划分</w:t>
            </w:r>
            <w:r>
              <w:rPr>
                <w:rFonts w:ascii="仿宋_GB2312" w:hAnsi="仿宋_GB2312" w:cs="仿宋_GB2312" w:eastAsia="仿宋_GB2312"/>
                <w:sz w:val="21"/>
                <w:color w:val="333333"/>
                <w:shd w:fill="FFFFFF" w:val="clear"/>
              </w:rPr>
              <w:t>，</w:t>
            </w:r>
            <w:r>
              <w:rPr>
                <w:rFonts w:ascii="仿宋_GB2312" w:hAnsi="仿宋_GB2312" w:cs="仿宋_GB2312" w:eastAsia="仿宋_GB2312"/>
                <w:sz w:val="24"/>
              </w:rPr>
              <w:t>提出符合陕西实际的管理对策与建议。</w:t>
            </w:r>
          </w:p>
          <w:p>
            <w:pPr>
              <w:pStyle w:val="null3"/>
              <w:numPr>
                <w:ilvl w:val="0"/>
                <w:numId w:val="1"/>
              </w:numPr>
            </w:pPr>
            <w:r>
              <w:rPr>
                <w:rFonts w:ascii="仿宋_GB2312" w:hAnsi="仿宋_GB2312" w:cs="仿宋_GB2312" w:eastAsia="仿宋_GB2312"/>
                <w:sz w:val="24"/>
                <w:b/>
                <w:color w:val="000000"/>
              </w:rPr>
              <w:t>四、规划成果要求</w:t>
            </w:r>
          </w:p>
          <w:p>
            <w:pPr>
              <w:pStyle w:val="null3"/>
              <w:ind w:firstLine="480"/>
            </w:pPr>
            <w:r>
              <w:rPr>
                <w:rFonts w:ascii="仿宋_GB2312" w:hAnsi="仿宋_GB2312" w:cs="仿宋_GB2312" w:eastAsia="仿宋_GB2312"/>
                <w:sz w:val="24"/>
                <w:color w:val="000000"/>
              </w:rPr>
              <w:t>研究报告需符合国家和陕西省有关规定，以及现行法律、法规和行业标准、规范等要求，满足采购人要求并通过采购人组织的专家评审。</w:t>
            </w:r>
          </w:p>
          <w:p>
            <w:pPr>
              <w:pStyle w:val="null3"/>
              <w:ind w:firstLine="480"/>
            </w:pPr>
            <w:r>
              <w:rPr>
                <w:rFonts w:ascii="仿宋_GB2312" w:hAnsi="仿宋_GB2312" w:cs="仿宋_GB2312" w:eastAsia="仿宋_GB2312"/>
                <w:sz w:val="24"/>
                <w:color w:val="000000"/>
              </w:rPr>
              <w:t>最终成果：陕西省</w:t>
            </w:r>
            <w:r>
              <w:rPr>
                <w:rFonts w:ascii="仿宋_GB2312" w:hAnsi="仿宋_GB2312" w:cs="仿宋_GB2312" w:eastAsia="仿宋_GB2312"/>
                <w:sz w:val="24"/>
                <w:color w:val="000000"/>
              </w:rPr>
              <w:t>“十五五”铁路发展规划报告（含规划文本、规划说明和规划图集）纸质版</w:t>
            </w:r>
            <w:r>
              <w:rPr>
                <w:rFonts w:ascii="仿宋_GB2312" w:hAnsi="仿宋_GB2312" w:cs="仿宋_GB2312" w:eastAsia="仿宋_GB2312"/>
                <w:sz w:val="24"/>
                <w:color w:val="000000"/>
                <w:u w:val="single"/>
              </w:rPr>
              <w:t>10</w:t>
            </w:r>
            <w:r>
              <w:rPr>
                <w:rFonts w:ascii="仿宋_GB2312" w:hAnsi="仿宋_GB2312" w:cs="仿宋_GB2312" w:eastAsia="仿宋_GB2312"/>
                <w:sz w:val="24"/>
                <w:color w:val="000000"/>
              </w:rPr>
              <w:t>份，电子文件</w:t>
            </w:r>
            <w:r>
              <w:rPr>
                <w:rFonts w:ascii="仿宋_GB2312" w:hAnsi="仿宋_GB2312" w:cs="仿宋_GB2312" w:eastAsia="仿宋_GB2312"/>
                <w:sz w:val="24"/>
                <w:color w:val="000000"/>
                <w:u w:val="single"/>
              </w:rPr>
              <w:t>1</w:t>
            </w:r>
            <w:r>
              <w:rPr>
                <w:rFonts w:ascii="仿宋_GB2312" w:hAnsi="仿宋_GB2312" w:cs="仿宋_GB2312" w:eastAsia="仿宋_GB2312"/>
                <w:sz w:val="24"/>
                <w:color w:val="000000"/>
              </w:rPr>
              <w:t>份。采购人根据实际情况要求调整。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针对本项目，供应商应成立专门服务团队。</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自合同签订之日起至2026年9月30日。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根据项目进度，按照采购人要求地点提供服务。</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满足采购人要求并通过采购人组织的专家审查。</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自合同生效之日起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甲方收到乙方提交的合同约定的相关资料后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供应商务必在响应文件提交截止时间30分钟前，通过项目电子化交易系统进行签到，如未进行签到，产生的一起后果由供应商自行承担。 2、磋商时无需提供纸质响应文件，成交供应商在领取成交通知书时提供纸质响应文件两份，纸质版文件须是电子化交易平台系统生成的响应文件。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2、提供会计师事务所出具的2023年度或2024年度审计报告（须赋验证码），或递交响应文件截止之日前六个月内银行开具的资信证明，或信用担保机构出具的担保函（以上三种形式的资料提供任何一种即可）；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w:t>
            </w:r>
          </w:p>
        </w:tc>
        <w:tc>
          <w:tcPr>
            <w:tcW w:type="dxa" w:w="3322"/>
          </w:tcPr>
          <w:p>
            <w:pPr>
              <w:pStyle w:val="null3"/>
            </w:pPr>
            <w:r>
              <w:rPr>
                <w:rFonts w:ascii="仿宋_GB2312" w:hAnsi="仿宋_GB2312" w:cs="仿宋_GB2312" w:eastAsia="仿宋_GB2312"/>
              </w:rPr>
              <w:t>磋商响应文件按磋商文件要求法定代表人（或负责人）或其授权代表签字</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响应文件中技术、服务内容达不到采购要求，出现重大负偏差，降低了服务要求</w:t>
            </w:r>
          </w:p>
        </w:tc>
        <w:tc>
          <w:tcPr>
            <w:tcW w:type="dxa" w:w="3322"/>
          </w:tcPr>
          <w:p>
            <w:pPr>
              <w:pStyle w:val="null3"/>
            </w:pPr>
            <w:r>
              <w:rPr>
                <w:rFonts w:ascii="仿宋_GB2312" w:hAnsi="仿宋_GB2312" w:cs="仿宋_GB2312" w:eastAsia="仿宋_GB2312"/>
              </w:rPr>
              <w:t>响应文件中技术、服务内容达不到采购要求，出现重大负偏差，降低了服务要求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通过资格和符合性审查的供应商，对商务要求的服务期限、服务地点 、考核（验收）标准和方法、支付方式及支付约定、违约责任及解决争议的方法进行响应。每响应一项内容得1分，满分5分。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1、对项目理解全面、准确，按其响应程度计0～5分。 2、对项目工作内容进行了详细的分析和策划，按其响应程度计0～5分。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总体编制思路和技术特点理解</w:t>
            </w:r>
          </w:p>
        </w:tc>
        <w:tc>
          <w:tcPr>
            <w:tcW w:type="dxa" w:w="2492"/>
          </w:tcPr>
          <w:p>
            <w:pPr>
              <w:pStyle w:val="null3"/>
            </w:pPr>
            <w:r>
              <w:rPr>
                <w:rFonts w:ascii="仿宋_GB2312" w:hAnsi="仿宋_GB2312" w:cs="仿宋_GB2312" w:eastAsia="仿宋_GB2312"/>
              </w:rPr>
              <w:t>1、总体编制思路清晰，可行性强，按其响应程度计0～5分。 2、项目技术特点理解把握准确，研究技术路线科学合理，按其响应程度计0～5分。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1、项目重难点及关键技术问题分析准确，针对性强，按其响应程度计0～5分。 2、解决重难点问题及关键技术问题对策措施全面，可行性强，按其响应程度计0～5分。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报告大纲</w:t>
            </w:r>
          </w:p>
        </w:tc>
        <w:tc>
          <w:tcPr>
            <w:tcW w:type="dxa" w:w="2492"/>
          </w:tcPr>
          <w:p>
            <w:pPr>
              <w:pStyle w:val="null3"/>
            </w:pPr>
            <w:r>
              <w:rPr>
                <w:rFonts w:ascii="仿宋_GB2312" w:hAnsi="仿宋_GB2312" w:cs="仿宋_GB2312" w:eastAsia="仿宋_GB2312"/>
              </w:rPr>
              <w:t>提供的规划报告编制大纲，结构合理、逻辑清晰、内容全面，符合实际需求，按其响应程度计0～5分。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工作计划</w:t>
            </w:r>
          </w:p>
        </w:tc>
        <w:tc>
          <w:tcPr>
            <w:tcW w:type="dxa" w:w="2492"/>
          </w:tcPr>
          <w:p>
            <w:pPr>
              <w:pStyle w:val="null3"/>
            </w:pPr>
            <w:r>
              <w:rPr>
                <w:rFonts w:ascii="仿宋_GB2312" w:hAnsi="仿宋_GB2312" w:cs="仿宋_GB2312" w:eastAsia="仿宋_GB2312"/>
              </w:rPr>
              <w:t>工作计划安排具体、合理，按其响应程度计0～5分。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1、项目质量保证措施完整、合理，按其响应程度计0～5分。 2、项目管理与风险控制方案全面，可操作性强，按其响应程度计0～5分。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后续服务计划合理可行、有完善的措施，按其响应程度计0～5分。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项目负责人具备正高级职称及注册咨询工程师证得2分； 项目团队（不含负责人）每配备一名高级职称人员得1分。满分3分。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1、项目组织机构配置合理、岗位设置齐全、职责划分明确，按其响应程度计0～5分。 2、项目团队均具备中级及以上职称，并具有丰富的交通规划类工作经验，按其响应程度计0～5分。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供应商提供近5年（2020年1月1日至今）类似规划项目业绩，每提供一项省、部级业绩得2分，每提供一项地市级业绩得1分。满分10分。 注：业绩以委托书或合同为依据。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详见附件：响应报价明细表.docx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详见附件：合同草案条款-上传.docx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