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both"/>
        <w:outlineLvl w:val="1"/>
        <w:rPr>
          <w:rFonts w:hint="eastAsia" w:ascii="宋体" w:hAnsi="宋体" w:eastAsia="宋体" w:cs="宋体"/>
          <w:b/>
          <w:sz w:val="36"/>
          <w:highlight w:val="none"/>
        </w:rPr>
      </w:pPr>
    </w:p>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ind w:left="0" w:leftChars="0" w:hanging="7" w:firstLineChars="0"/>
        <w:jc w:val="center"/>
        <w:rPr>
          <w:rFonts w:ascii="仿宋" w:hAnsi="仿宋" w:eastAsia="仿宋" w:cs="仿宋"/>
          <w:color w:val="auto"/>
          <w:sz w:val="16"/>
          <w:szCs w:val="15"/>
          <w:highlight w:val="none"/>
          <w:lang w:eastAsia="zh-CN"/>
        </w:rPr>
      </w:pP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val="en-US" w:eastAsia="zh-CN"/>
        </w:rPr>
        <w:t>全省公路基础数据核查及电子地图轨迹复核</w:t>
      </w: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eastAsia="en-US"/>
        </w:rPr>
        <w:t>服务合同</w:t>
      </w:r>
    </w:p>
    <w:p>
      <w:pPr>
        <w:pStyle w:val="2"/>
        <w:ind w:left="0" w:leftChars="0" w:hanging="7" w:firstLineChars="0"/>
        <w:jc w:val="center"/>
        <w:rPr>
          <w:rFonts w:hint="eastAsia" w:ascii="宋体" w:hAnsi="宋体" w:eastAsia="宋体" w:cs="宋体"/>
          <w:b/>
          <w:bCs/>
          <w:color w:val="auto"/>
          <w:kern w:val="0"/>
          <w:sz w:val="32"/>
          <w:szCs w:val="32"/>
          <w:highlight w:val="none"/>
          <w:u w:val="none"/>
          <w:lang w:val="en-US" w:eastAsia="zh-CN"/>
        </w:rPr>
      </w:pPr>
      <w:r>
        <w:rPr>
          <w:rFonts w:hint="eastAsia" w:ascii="宋体" w:hAnsi="宋体" w:eastAsia="宋体" w:cs="宋体"/>
          <w:b/>
          <w:bCs/>
          <w:color w:val="auto"/>
          <w:kern w:val="0"/>
          <w:sz w:val="32"/>
          <w:szCs w:val="32"/>
          <w:highlight w:val="none"/>
          <w:u w:val="none"/>
          <w:lang w:val="en-US" w:eastAsia="zh-CN"/>
        </w:rPr>
        <w:t>采购包1：公路基础属性数据现场核查</w:t>
      </w: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bookmarkStart w:id="0" w:name="_GoBack"/>
      <w:bookmarkEnd w:id="0"/>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en-US"/>
        </w:rPr>
      </w:pP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p>
    <w:p>
      <w:pPr>
        <w:spacing w:line="500" w:lineRule="exact"/>
        <w:jc w:val="both"/>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公路基础属性数据现场核查</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采购人指定地点</w:t>
      </w:r>
      <w:r>
        <w:rPr>
          <w:rFonts w:hint="eastAsia" w:asciiTheme="minorEastAsia" w:hAnsiTheme="minorEastAsia" w:eastAsiaTheme="minorEastAsia" w:cstheme="minorEastAsia"/>
          <w:color w:val="auto"/>
          <w:sz w:val="28"/>
          <w:szCs w:val="28"/>
          <w:highlight w:val="none"/>
          <w:lang w:val="en-US" w:eastAsia="zh-CN"/>
        </w:rPr>
        <w:t>；</w:t>
      </w:r>
    </w:p>
    <w:p>
      <w:pPr>
        <w:pStyle w:val="8"/>
        <w:spacing w:line="360" w:lineRule="auto"/>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sz w:val="28"/>
          <w:szCs w:val="28"/>
          <w:highlight w:val="none"/>
          <w:u w:val="single"/>
          <w:lang w:val="en-US" w:eastAsia="zh-CN"/>
        </w:rPr>
        <w:t>公路基础属性数据复核主要分为外业复核和内业复核，不少于5000公里（含桥隧）。对复核结果进行分析、梳理、分类汇总，形成各市核查分析报告及全省核查总报告</w:t>
      </w:r>
      <w:r>
        <w:rPr>
          <w:rFonts w:hint="eastAsia" w:asciiTheme="minorEastAsia" w:hAnsiTheme="minorEastAsia" w:eastAsiaTheme="minorEastAsia" w:cstheme="minorEastAsia"/>
          <w:color w:val="auto"/>
          <w:sz w:val="28"/>
          <w:szCs w:val="28"/>
          <w:highlight w:val="none"/>
          <w:u w:val="single"/>
          <w:lang w:val="en-US" w:eastAsia="zh-CN"/>
        </w:rPr>
        <w:t>。</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default"/>
          <w:highlight w:val="none"/>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kinsoku/>
        <w:spacing w:beforeLines="0" w:line="520" w:lineRule="exact"/>
        <w:ind w:firstLine="554" w:firstLineChars="198"/>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kinsoku/>
        <w:spacing w:beforeLines="0" w:line="520" w:lineRule="exact"/>
        <w:ind w:firstLine="554" w:firstLineChars="198"/>
        <w:jc w:val="both"/>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kinsoku/>
        <w:spacing w:beforeLines="0" w:line="520" w:lineRule="exact"/>
        <w:ind w:firstLine="560" w:firstLineChars="200"/>
        <w:jc w:val="both"/>
        <w:rPr>
          <w:rFonts w:hint="default" w:asciiTheme="minorEastAsia" w:hAnsiTheme="minorEastAsia" w:eastAsiaTheme="minorEastAsia" w:cstheme="minorEastAsia"/>
          <w:b w:val="0"/>
          <w:bCs w:val="0"/>
          <w:color w:val="FF0000"/>
          <w:sz w:val="28"/>
          <w:szCs w:val="28"/>
          <w:highlight w:val="none"/>
          <w:u w:val="single"/>
          <w:lang w:val="en-US" w:eastAsia="zh-CN"/>
        </w:rPr>
      </w:pPr>
      <w:r>
        <w:rPr>
          <w:rFonts w:hint="eastAsia" w:asciiTheme="minorEastAsia" w:hAnsiTheme="minorEastAsia" w:eastAsiaTheme="minorEastAsia" w:cstheme="minorEastAsia"/>
          <w:b w:val="0"/>
          <w:bCs w:val="0"/>
          <w:color w:val="auto"/>
          <w:sz w:val="28"/>
          <w:szCs w:val="28"/>
          <w:highlight w:val="none"/>
          <w:u w:val="single"/>
          <w:lang w:val="en-US" w:eastAsia="zh-CN"/>
        </w:rPr>
        <w:t>合同签订后，甲方收到履约保证金及增值税普通发票后，支付合同总金额的60.00%。完成公路基础属性数据（含桥隧）现场核查，并形成核查报告经甲方确认合格后，支付合同总金额的40.00%。</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single"/>
          <w:lang w:eastAsia="zh-CN"/>
        </w:rPr>
        <w:t>自合同签订之日起1年（具体以合同签订为准）。</w:t>
      </w:r>
    </w:p>
    <w:p>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kinsoku/>
        <w:spacing w:beforeLines="0" w:line="520" w:lineRule="exact"/>
        <w:ind w:firstLine="560" w:firstLineChars="200"/>
        <w:jc w:val="both"/>
        <w:rPr>
          <w:rFonts w:hint="eastAsia" w:asciiTheme="minorEastAsia" w:hAnsiTheme="minorEastAsia" w:eastAsiaTheme="minorEastAsia" w:cstheme="minorEastAsia"/>
          <w:b w:val="0"/>
          <w:bCs w:val="0"/>
          <w:color w:val="auto"/>
          <w:sz w:val="28"/>
          <w:szCs w:val="28"/>
          <w:highlight w:val="none"/>
          <w:u w:val="single"/>
          <w:lang w:val="en-US" w:eastAsia="zh-CN"/>
        </w:rPr>
      </w:pPr>
      <w:r>
        <w:rPr>
          <w:rFonts w:hint="eastAsia" w:asciiTheme="minorEastAsia" w:hAnsiTheme="minorEastAsia" w:eastAsiaTheme="minorEastAsia" w:cstheme="minorEastAsia"/>
          <w:b w:val="0"/>
          <w:bCs w:val="0"/>
          <w:color w:val="auto"/>
          <w:sz w:val="28"/>
          <w:szCs w:val="28"/>
          <w:highlight w:val="none"/>
          <w:u w:val="single"/>
          <w:lang w:val="en-US" w:eastAsia="zh-CN"/>
        </w:rPr>
        <w:t>（1）路段基础属性数据外业主要复核内容：路线桩号位置，路段技术等级、路基、路面宽度、铺装类型、是否城管路段、是否收费路段、重复路段基本信息、市（区）县分界点位置等。内业主要核查内容：修建改建年度、最近一次修复养护年度、是否收费路段正式批复文件、规划重复路段基本信息、是否城管路段起止点位置等。</w:t>
      </w:r>
    </w:p>
    <w:p>
      <w:pPr>
        <w:kinsoku/>
        <w:spacing w:beforeLines="0" w:line="520" w:lineRule="exact"/>
        <w:ind w:firstLine="560" w:firstLineChars="200"/>
        <w:jc w:val="both"/>
        <w:rPr>
          <w:rFonts w:hint="default"/>
          <w:color w:val="auto"/>
          <w:highlight w:val="none"/>
          <w:lang w:val="en-US" w:eastAsia="zh-CN"/>
        </w:rPr>
      </w:pPr>
      <w:r>
        <w:rPr>
          <w:rFonts w:hint="eastAsia" w:asciiTheme="minorEastAsia" w:hAnsiTheme="minorEastAsia" w:eastAsiaTheme="minorEastAsia" w:cstheme="minorEastAsia"/>
          <w:b w:val="0"/>
          <w:bCs w:val="0"/>
          <w:color w:val="auto"/>
          <w:sz w:val="28"/>
          <w:szCs w:val="28"/>
          <w:highlight w:val="none"/>
          <w:u w:val="single"/>
          <w:lang w:val="en-US" w:eastAsia="zh-CN"/>
        </w:rPr>
        <w:t>（2）主要附属设施基础属性数据。桥梁复核内容：桥梁中心桩号、桥梁总长、跨径总长、单孔最大跨径、跨径组合、桥梁全宽、桥梁净宽、桥梁分类、主桥上部构造结构形式（结构类型和材料）、桥墩类型、跨越地物、是否互通立交、设计荷载等级、抗震等级、通航等级、墩台防撞设施类型、与是否长大桥梁名录一致、最近一次改造情况等信息；隧道复核内容：隧道出入口桩号、隧道长度、隧道净宽、隧道净高、隧道分类、是否水下隧道、有无机电通风照明设施等信息填报的准确性、抗震等级、修建年度、防洪标准、最近一次改造情况、与是否长大隧道名录是否一致等。</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54" w:firstLineChars="198"/>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2.</w:t>
      </w:r>
      <w:r>
        <w:rPr>
          <w:rFonts w:hint="eastAsia" w:ascii="宋体" w:hAnsi="宋体" w:eastAsia="宋体" w:cs="宋体"/>
          <w:b w:val="0"/>
          <w:bCs w:val="0"/>
          <w:snapToGrid w:val="0"/>
          <w:color w:val="auto"/>
          <w:kern w:val="0"/>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5</w:t>
      </w:r>
      <w:r>
        <w:rPr>
          <w:rFonts w:hint="eastAsia" w:ascii="宋体" w:hAnsi="宋体" w:eastAsia="宋体" w:cs="宋体"/>
          <w:b w:val="0"/>
          <w:bCs w:val="0"/>
          <w:snapToGrid w:val="0"/>
          <w:color w:val="auto"/>
          <w:kern w:val="0"/>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6</w:t>
      </w:r>
      <w:r>
        <w:rPr>
          <w:rFonts w:hint="eastAsia" w:ascii="宋体" w:hAnsi="宋体" w:eastAsia="宋体" w:cs="宋体"/>
          <w:b w:val="0"/>
          <w:bCs w:val="0"/>
          <w:snapToGrid w:val="0"/>
          <w:color w:val="auto"/>
          <w:kern w:val="0"/>
          <w:sz w:val="28"/>
          <w:szCs w:val="28"/>
          <w:highlight w:val="none"/>
          <w:lang w:val="zh-CN" w:eastAsia="zh-CN"/>
        </w:rPr>
        <w:t>.因乙方原因导致工作停滞、延误的，未在规定期限内完成工作任务的，每顺延一天罚金合同金额0.</w:t>
      </w: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eastAsia="宋体" w:cs="宋体"/>
          <w:b w:val="0"/>
          <w:bCs w:val="0"/>
          <w:snapToGrid w:val="0"/>
          <w:color w:val="auto"/>
          <w:kern w:val="0"/>
          <w:sz w:val="28"/>
          <w:szCs w:val="28"/>
          <w:highlight w:val="none"/>
          <w:lang w:val="zh-CN" w:eastAsia="zh-CN"/>
        </w:rPr>
        <w:t>%。延期超过30天的，甲方有权解除合同，并要求乙方赔偿全部损失。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7</w:t>
      </w:r>
      <w:r>
        <w:rPr>
          <w:rFonts w:hint="eastAsia" w:ascii="宋体" w:hAnsi="宋体" w:eastAsia="宋体" w:cs="宋体"/>
          <w:b w:val="0"/>
          <w:bCs w:val="0"/>
          <w:snapToGrid w:val="0"/>
          <w:color w:val="auto"/>
          <w:kern w:val="0"/>
          <w:sz w:val="28"/>
          <w:szCs w:val="28"/>
          <w:highlight w:val="none"/>
          <w:lang w:val="zh-CN" w:eastAsia="zh-CN"/>
        </w:rPr>
        <w:t>.无正当理由单方终止合同，违约方除赔偿给对方造成的损失外，还应向守约方支付项目总额10%的违约金。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9</w:t>
      </w:r>
      <w:r>
        <w:rPr>
          <w:rFonts w:hint="eastAsia" w:ascii="宋体" w:hAnsi="宋体" w:eastAsia="宋体" w:cs="宋体"/>
          <w:b w:val="0"/>
          <w:bCs w:val="0"/>
          <w:snapToGrid w:val="0"/>
          <w:color w:val="auto"/>
          <w:kern w:val="0"/>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宋体" w:hAnsi="宋体" w:eastAsia="宋体" w:cs="宋体"/>
          <w:color w:val="auto"/>
          <w:sz w:val="20"/>
          <w:szCs w:val="20"/>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宋体" w:hAnsi="宋体" w:eastAsia="宋体" w:cs="宋体"/>
          <w:b w:val="0"/>
          <w:bCs w:val="0"/>
          <w:snapToGrid w:val="0"/>
          <w:color w:val="auto"/>
          <w:kern w:val="0"/>
          <w:sz w:val="28"/>
          <w:szCs w:val="28"/>
          <w:highlight w:val="none"/>
          <w:lang w:val="zh-CN" w:eastAsia="zh-CN"/>
        </w:rPr>
        <w:t>。</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2.在诉讼期间，除正在进行诉讼部分外，合同其他部分继续执行。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Theme="minorEastAsia" w:hAnsiTheme="minorEastAsia" w:eastAsiaTheme="minorEastAsia" w:cstheme="minorEastAsia"/>
          <w:color w:val="auto"/>
          <w:sz w:val="28"/>
          <w:szCs w:val="28"/>
          <w:highlight w:val="none"/>
          <w:lang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tbl>
      <w:tblPr>
        <w:tblStyle w:val="6"/>
        <w:tblW w:w="90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9" w:hRule="atLeast"/>
          <w:jc w:val="center"/>
        </w:trPr>
        <w:tc>
          <w:tcPr>
            <w:tcW w:w="4591" w:type="dxa"/>
            <w:vAlign w:val="center"/>
          </w:tcPr>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vAlign w:val="center"/>
          </w:tcPr>
          <w:p>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rPr>
                <w:rFonts w:hint="eastAsia" w:asciiTheme="minorEastAsia" w:hAnsiTheme="minorEastAsia" w:eastAsiaTheme="minorEastAsia" w:cstheme="minorEastAsia"/>
                <w:color w:val="auto"/>
                <w:sz w:val="28"/>
                <w:szCs w:val="28"/>
                <w:highlight w:val="none"/>
                <w:lang w:val="en-US" w:eastAsia="zh-CN"/>
              </w:rPr>
            </w:pPr>
          </w:p>
          <w:p>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4"/>
        <w:spacing w:beforeLines="0" w:line="500" w:lineRule="exact"/>
        <w:rPr>
          <w:rFonts w:hint="eastAsia" w:asciiTheme="minorEastAsia" w:hAnsiTheme="minorEastAsia" w:eastAsiaTheme="minorEastAsia" w:cstheme="minorEastAsia"/>
          <w:color w:val="auto"/>
          <w:sz w:val="28"/>
          <w:szCs w:val="28"/>
          <w:highlight w:val="none"/>
        </w:rPr>
      </w:pPr>
    </w:p>
    <w:p>
      <w:pPr>
        <w:bidi w:val="0"/>
        <w:rPr>
          <w:rFonts w:hint="eastAsia"/>
          <w:highlight w:val="none"/>
        </w:rPr>
      </w:pPr>
    </w:p>
    <w:p>
      <w:pPr>
        <w:pStyle w:val="4"/>
        <w:spacing w:line="640" w:lineRule="exact"/>
        <w:rPr>
          <w:rFonts w:hint="eastAsia"/>
          <w:color w:val="auto"/>
          <w:highlight w:val="none"/>
        </w:rPr>
        <w:sectPr>
          <w:pgSz w:w="11906" w:h="16838"/>
          <w:pgMar w:top="1440" w:right="1800" w:bottom="1440" w:left="1800"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jc w:val="right"/>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年     月     日</w:t>
      </w:r>
    </w:p>
    <w:p>
      <w:pPr>
        <w:spacing w:beforeLines="0" w:line="500" w:lineRule="exact"/>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8"/>
        <w:jc w:val="right"/>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年     月     日</w:t>
      </w:r>
    </w:p>
    <w:p>
      <w:pPr>
        <w:rPr>
          <w:rFonts w:hint="eastAsia" w:ascii="宋体" w:hAnsi="宋体" w:eastAsia="宋体" w:cs="宋体"/>
          <w:color w:val="auto"/>
          <w:sz w:val="20"/>
          <w:szCs w:val="20"/>
          <w:highlight w:val="none"/>
          <w:lang w:eastAsia="zh-CN"/>
        </w:rPr>
      </w:pPr>
    </w:p>
    <w:p>
      <w:pPr>
        <w:rPr>
          <w:highlight w:val="none"/>
        </w:rPr>
      </w:pPr>
    </w:p>
    <w:p>
      <w:pPr>
        <w:rPr>
          <w:highlight w:val="none"/>
        </w:rPr>
      </w:pPr>
      <w:r>
        <w:rPr>
          <w:highlight w:val="none"/>
        </w:rPr>
        <w:br w:type="page"/>
      </w:r>
    </w:p>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ind w:left="0" w:leftChars="0" w:hanging="7" w:firstLineChars="0"/>
        <w:jc w:val="center"/>
        <w:rPr>
          <w:rFonts w:ascii="仿宋" w:hAnsi="仿宋" w:eastAsia="仿宋" w:cs="仿宋"/>
          <w:color w:val="auto"/>
          <w:sz w:val="16"/>
          <w:szCs w:val="15"/>
          <w:highlight w:val="none"/>
          <w:lang w:eastAsia="zh-CN"/>
        </w:rPr>
      </w:pP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val="en-US" w:eastAsia="zh-CN"/>
        </w:rPr>
        <w:t>全省公路基础数据核查及电子地图轨迹复核</w:t>
      </w:r>
      <w:r>
        <w:rPr>
          <w:rFonts w:hint="eastAsia" w:ascii="宋体" w:hAnsi="宋体" w:eastAsia="宋体" w:cs="宋体"/>
          <w:b/>
          <w:bCs/>
          <w:color w:val="auto"/>
          <w:kern w:val="0"/>
          <w:sz w:val="32"/>
          <w:szCs w:val="32"/>
          <w:highlight w:val="none"/>
          <w:u w:val="none"/>
          <w:lang w:eastAsia="zh-CN"/>
        </w:rPr>
        <w:t>）</w:t>
      </w:r>
      <w:r>
        <w:rPr>
          <w:rFonts w:hint="eastAsia" w:ascii="宋体" w:hAnsi="宋体" w:eastAsia="宋体" w:cs="宋体"/>
          <w:b/>
          <w:bCs/>
          <w:color w:val="auto"/>
          <w:kern w:val="0"/>
          <w:sz w:val="32"/>
          <w:szCs w:val="32"/>
          <w:highlight w:val="none"/>
          <w:u w:val="none"/>
          <w:lang w:eastAsia="en-US"/>
        </w:rPr>
        <w:t>服务合同</w:t>
      </w:r>
    </w:p>
    <w:p>
      <w:pPr>
        <w:pStyle w:val="2"/>
        <w:ind w:left="0" w:leftChars="0" w:hanging="7" w:firstLineChars="0"/>
        <w:jc w:val="center"/>
        <w:rPr>
          <w:rFonts w:hint="eastAsia" w:ascii="宋体" w:hAnsi="宋体" w:eastAsia="宋体" w:cs="宋体"/>
          <w:b/>
          <w:bCs/>
          <w:color w:val="auto"/>
          <w:kern w:val="0"/>
          <w:sz w:val="32"/>
          <w:szCs w:val="32"/>
          <w:highlight w:val="none"/>
          <w:u w:val="none"/>
          <w:lang w:val="en-US" w:eastAsia="zh-CN"/>
        </w:rPr>
      </w:pPr>
      <w:r>
        <w:rPr>
          <w:rFonts w:hint="eastAsia" w:ascii="宋体" w:hAnsi="宋体" w:eastAsia="宋体" w:cs="宋体"/>
          <w:b/>
          <w:bCs/>
          <w:color w:val="auto"/>
          <w:kern w:val="0"/>
          <w:sz w:val="32"/>
          <w:szCs w:val="32"/>
          <w:highlight w:val="none"/>
          <w:u w:val="none"/>
          <w:lang w:val="en-US" w:eastAsia="zh-CN"/>
        </w:rPr>
        <w:t>采购包2：电子地图轨迹复核</w:t>
      </w: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zh-CN"/>
        </w:rPr>
      </w:pPr>
    </w:p>
    <w:p>
      <w:pPr>
        <w:pStyle w:val="2"/>
        <w:spacing w:beforeLines="0" w:line="500" w:lineRule="exact"/>
        <w:rPr>
          <w:rFonts w:hint="eastAsia" w:ascii="宋体" w:hAnsi="宋体" w:eastAsia="宋体" w:cs="宋体"/>
          <w:b/>
          <w:bCs/>
          <w:color w:val="auto"/>
          <w:sz w:val="28"/>
          <w:szCs w:val="28"/>
          <w:highlight w:val="none"/>
          <w:lang w:eastAsia="en-US"/>
        </w:rPr>
      </w:pP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p>
    <w:p>
      <w:pPr>
        <w:spacing w:line="500" w:lineRule="exact"/>
        <w:jc w:val="both"/>
        <w:rPr>
          <w:rFonts w:hint="eastAsia" w:ascii="宋体" w:hAnsi="宋体" w:eastAsia="宋体" w:cs="宋体"/>
          <w:b/>
          <w:bCs/>
          <w:snapToGrid w:val="0"/>
          <w:color w:val="auto"/>
          <w:kern w:val="0"/>
          <w:sz w:val="32"/>
          <w:szCs w:val="32"/>
          <w:highlight w:val="none"/>
          <w:lang w:eastAsia="en-US"/>
        </w:rPr>
      </w:pPr>
    </w:p>
    <w:p>
      <w:pPr>
        <w:spacing w:line="500" w:lineRule="exact"/>
        <w:jc w:val="both"/>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电子地图轨迹复核</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采购人指定地点</w:t>
      </w:r>
      <w:r>
        <w:rPr>
          <w:rFonts w:hint="eastAsia" w:asciiTheme="minorEastAsia" w:hAnsiTheme="minorEastAsia" w:eastAsiaTheme="minorEastAsia" w:cstheme="minorEastAsia"/>
          <w:color w:val="auto"/>
          <w:sz w:val="28"/>
          <w:szCs w:val="28"/>
          <w:highlight w:val="none"/>
          <w:lang w:val="en-US" w:eastAsia="zh-CN"/>
        </w:rPr>
        <w:t>；</w:t>
      </w:r>
    </w:p>
    <w:p>
      <w:pPr>
        <w:pStyle w:val="8"/>
        <w:spacing w:line="360" w:lineRule="auto"/>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kern w:val="2"/>
          <w:sz w:val="28"/>
          <w:szCs w:val="28"/>
          <w:highlight w:val="none"/>
          <w:u w:val="single"/>
          <w:lang w:val="en-US" w:eastAsia="zh-CN" w:bidi="ar-SA"/>
        </w:rPr>
        <w:t>通过技术手段，识别、提取卫星遥感影像上的农村公路，对约2.3万公里村道电子地图轨迹及基础设施数据的复核结果进行分析、梳理，并分类汇总。梳理数据存在问题，提出相应对策，形成成果报告，同时就如何做好农村公路基础设施调查工作提出合理化建议</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default"/>
          <w:highlight w:val="none"/>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kinsoku/>
        <w:spacing w:beforeLines="0" w:line="520" w:lineRule="exact"/>
        <w:ind w:firstLine="554" w:firstLineChars="198"/>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kinsoku/>
        <w:spacing w:beforeLines="0" w:line="520" w:lineRule="exact"/>
        <w:ind w:firstLine="554" w:firstLineChars="198"/>
        <w:jc w:val="both"/>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kinsoku/>
        <w:spacing w:beforeLines="0" w:line="520" w:lineRule="exact"/>
        <w:ind w:firstLine="560" w:firstLineChars="200"/>
        <w:jc w:val="both"/>
        <w:rPr>
          <w:rFonts w:hint="default" w:asciiTheme="minorEastAsia" w:hAnsiTheme="minorEastAsia" w:eastAsiaTheme="minorEastAsia" w:cstheme="minorEastAsia"/>
          <w:b w:val="0"/>
          <w:bCs w:val="0"/>
          <w:color w:val="auto"/>
          <w:sz w:val="28"/>
          <w:szCs w:val="28"/>
          <w:highlight w:val="none"/>
          <w:u w:val="single"/>
          <w:lang w:val="en-US" w:eastAsia="zh-CN"/>
        </w:rPr>
      </w:pPr>
      <w:r>
        <w:rPr>
          <w:rFonts w:hint="eastAsia" w:asciiTheme="minorEastAsia" w:hAnsiTheme="minorEastAsia" w:eastAsiaTheme="minorEastAsia" w:cstheme="minorEastAsia"/>
          <w:color w:val="auto"/>
          <w:kern w:val="2"/>
          <w:sz w:val="28"/>
          <w:szCs w:val="28"/>
          <w:highlight w:val="none"/>
          <w:u w:val="single"/>
          <w:lang w:val="en-US" w:eastAsia="zh-CN" w:bidi="ar-SA"/>
        </w:rPr>
        <w:t>合同签订后，甲方收到履约保证金及增值税普通发票后，支付合同总金额的60.00%。完成电子地图轨迹遥感复核，并形成核查报告经甲方确认合格后，支付合同总金额的40.00%</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single"/>
          <w:lang w:eastAsia="zh-CN"/>
        </w:rPr>
        <w:t>自合同签订之日起1年（具体以合同签订为准）。</w:t>
      </w:r>
    </w:p>
    <w:p>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kinsoku/>
        <w:spacing w:beforeLines="0" w:line="520" w:lineRule="exact"/>
        <w:ind w:firstLine="560" w:firstLineChars="200"/>
        <w:jc w:val="both"/>
        <w:rPr>
          <w:rFonts w:hint="default"/>
          <w:color w:val="auto"/>
          <w:highlight w:val="none"/>
          <w:lang w:val="en-US" w:eastAsia="zh-CN"/>
        </w:rPr>
      </w:pPr>
      <w:r>
        <w:rPr>
          <w:rFonts w:hint="eastAsia" w:asciiTheme="minorEastAsia" w:hAnsiTheme="minorEastAsia" w:eastAsiaTheme="minorEastAsia" w:cstheme="minorEastAsia"/>
          <w:color w:val="auto"/>
          <w:kern w:val="2"/>
          <w:sz w:val="28"/>
          <w:szCs w:val="28"/>
          <w:highlight w:val="none"/>
          <w:u w:val="single"/>
          <w:lang w:val="en-US" w:eastAsia="zh-CN" w:bidi="ar-SA"/>
        </w:rPr>
        <w:t>通过技术手段，识别、提取卫星遥感影像上的农村公路，根据遥感影像上的相关信息复核约2.3万公里村道，重点针对轨迹失真、路线重复等情况进行复核，同时复核抽取路段的路基（路面）宽度、路面铺装类型、路线长度、桥（隧）构造物的位置信息。对村道电子地图轨迹及基础设施数据的复核结果进行分析、梳理，并分类汇总。梳理数据存在问题，提出相应对策，形成成果报告，同时就如何做好农村公路基础设施调查工作提出合理化建议</w:t>
      </w:r>
      <w:r>
        <w:rPr>
          <w:rFonts w:hint="eastAsia" w:asciiTheme="minorEastAsia" w:hAnsiTheme="minorEastAsia" w:eastAsiaTheme="minorEastAsia" w:cstheme="minorEastAsia"/>
          <w:color w:val="auto"/>
          <w:kern w:val="2"/>
          <w:sz w:val="28"/>
          <w:szCs w:val="28"/>
          <w:highlight w:val="none"/>
          <w:u w:val="none"/>
          <w:lang w:val="en-US" w:eastAsia="zh-CN" w:bidi="ar-SA"/>
        </w:rPr>
        <w:t>。</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60" w:firstLineChars="200"/>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2.</w:t>
      </w:r>
      <w:r>
        <w:rPr>
          <w:rFonts w:hint="eastAsia" w:ascii="宋体" w:hAnsi="宋体" w:eastAsia="宋体" w:cs="宋体"/>
          <w:b w:val="0"/>
          <w:bCs w:val="0"/>
          <w:snapToGrid w:val="0"/>
          <w:color w:val="auto"/>
          <w:kern w:val="0"/>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5</w:t>
      </w:r>
      <w:r>
        <w:rPr>
          <w:rFonts w:hint="eastAsia" w:ascii="宋体" w:hAnsi="宋体" w:eastAsia="宋体" w:cs="宋体"/>
          <w:b w:val="0"/>
          <w:bCs w:val="0"/>
          <w:snapToGrid w:val="0"/>
          <w:color w:val="auto"/>
          <w:kern w:val="0"/>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6</w:t>
      </w:r>
      <w:r>
        <w:rPr>
          <w:rFonts w:hint="eastAsia" w:ascii="宋体" w:hAnsi="宋体" w:eastAsia="宋体" w:cs="宋体"/>
          <w:b w:val="0"/>
          <w:bCs w:val="0"/>
          <w:snapToGrid w:val="0"/>
          <w:color w:val="auto"/>
          <w:kern w:val="0"/>
          <w:sz w:val="28"/>
          <w:szCs w:val="28"/>
          <w:highlight w:val="none"/>
          <w:lang w:val="zh-CN" w:eastAsia="zh-CN"/>
        </w:rPr>
        <w:t>.因乙方原因导致工作停滞、延误的，未在规定期限内完成工作任务的，每顺延一天罚金合同金额0.</w:t>
      </w: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eastAsia="宋体" w:cs="宋体"/>
          <w:b w:val="0"/>
          <w:bCs w:val="0"/>
          <w:snapToGrid w:val="0"/>
          <w:color w:val="auto"/>
          <w:kern w:val="0"/>
          <w:sz w:val="28"/>
          <w:szCs w:val="28"/>
          <w:highlight w:val="none"/>
          <w:lang w:val="zh-CN" w:eastAsia="zh-CN"/>
        </w:rPr>
        <w:t>%。延期超过30天的，甲方有权解除合同，并要求乙方赔偿全部损失。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7</w:t>
      </w:r>
      <w:r>
        <w:rPr>
          <w:rFonts w:hint="eastAsia" w:ascii="宋体" w:hAnsi="宋体" w:eastAsia="宋体" w:cs="宋体"/>
          <w:b w:val="0"/>
          <w:bCs w:val="0"/>
          <w:snapToGrid w:val="0"/>
          <w:color w:val="auto"/>
          <w:kern w:val="0"/>
          <w:sz w:val="28"/>
          <w:szCs w:val="28"/>
          <w:highlight w:val="none"/>
          <w:lang w:val="zh-CN" w:eastAsia="zh-CN"/>
        </w:rPr>
        <w:t>.无正当理由单方终止合同，违约方除赔偿给对方造成的损失外，还应向守约方支付项目总额10%的违约金。</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9</w:t>
      </w:r>
      <w:r>
        <w:rPr>
          <w:rFonts w:hint="eastAsia" w:ascii="宋体" w:hAnsi="宋体" w:eastAsia="宋体" w:cs="宋体"/>
          <w:b w:val="0"/>
          <w:bCs w:val="0"/>
          <w:snapToGrid w:val="0"/>
          <w:color w:val="auto"/>
          <w:kern w:val="0"/>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宋体" w:hAnsi="宋体" w:eastAsia="宋体" w:cs="宋体"/>
          <w:color w:val="auto"/>
          <w:sz w:val="20"/>
          <w:szCs w:val="20"/>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宋体" w:hAnsi="宋体" w:eastAsia="宋体" w:cs="宋体"/>
          <w:b w:val="0"/>
          <w:bCs w:val="0"/>
          <w:snapToGrid w:val="0"/>
          <w:color w:val="auto"/>
          <w:kern w:val="0"/>
          <w:sz w:val="28"/>
          <w:szCs w:val="28"/>
          <w:highlight w:val="none"/>
          <w:lang w:val="zh-CN" w:eastAsia="zh-CN"/>
        </w:rPr>
        <w:t>。</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2.在诉讼期间，除正在进行诉讼部分外，合同其他部分继续执行。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Theme="minorEastAsia" w:hAnsiTheme="minorEastAsia" w:eastAsiaTheme="minorEastAsia" w:cstheme="minorEastAsia"/>
          <w:color w:val="auto"/>
          <w:sz w:val="28"/>
          <w:szCs w:val="28"/>
          <w:highlight w:val="none"/>
          <w:lang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tbl>
      <w:tblPr>
        <w:tblStyle w:val="6"/>
        <w:tblW w:w="90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9" w:hRule="atLeast"/>
          <w:jc w:val="center"/>
        </w:trPr>
        <w:tc>
          <w:tcPr>
            <w:tcW w:w="4591" w:type="dxa"/>
            <w:vAlign w:val="center"/>
          </w:tcPr>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vAlign w:val="center"/>
          </w:tcPr>
          <w:p>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rPr>
                <w:rFonts w:hint="eastAsia" w:asciiTheme="minorEastAsia" w:hAnsiTheme="minorEastAsia" w:eastAsiaTheme="minorEastAsia" w:cstheme="minorEastAsia"/>
                <w:color w:val="auto"/>
                <w:sz w:val="28"/>
                <w:szCs w:val="28"/>
                <w:highlight w:val="none"/>
                <w:lang w:val="en-US" w:eastAsia="zh-CN"/>
              </w:rPr>
            </w:pPr>
          </w:p>
          <w:p>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4"/>
        <w:spacing w:beforeLines="0" w:line="500" w:lineRule="exact"/>
        <w:rPr>
          <w:rFonts w:hint="eastAsia" w:asciiTheme="minorEastAsia" w:hAnsiTheme="minorEastAsia" w:eastAsiaTheme="minorEastAsia" w:cstheme="minorEastAsia"/>
          <w:color w:val="auto"/>
          <w:sz w:val="28"/>
          <w:szCs w:val="28"/>
          <w:highlight w:val="none"/>
        </w:rPr>
      </w:pPr>
    </w:p>
    <w:p>
      <w:pPr>
        <w:bidi w:val="0"/>
        <w:rPr>
          <w:rFonts w:hint="eastAsia"/>
          <w:highlight w:val="none"/>
        </w:rPr>
      </w:pPr>
    </w:p>
    <w:p>
      <w:pPr>
        <w:pStyle w:val="4"/>
        <w:spacing w:line="640" w:lineRule="exact"/>
        <w:rPr>
          <w:rFonts w:hint="eastAsia"/>
          <w:color w:val="auto"/>
          <w:highlight w:val="none"/>
        </w:rPr>
        <w:sectPr>
          <w:pgSz w:w="11906" w:h="16838"/>
          <w:pgMar w:top="1440" w:right="1800" w:bottom="1440" w:left="1800"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jc w:val="right"/>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年     月     日</w:t>
      </w:r>
    </w:p>
    <w:p>
      <w:pPr>
        <w:spacing w:beforeLines="0" w:line="500" w:lineRule="exact"/>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8"/>
        <w:jc w:val="right"/>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年     月     日</w:t>
      </w:r>
    </w:p>
    <w:p>
      <w:pPr>
        <w:rPr>
          <w:rFonts w:hint="eastAsia" w:ascii="宋体" w:hAnsi="宋体" w:eastAsia="宋体" w:cs="宋体"/>
          <w:color w:val="auto"/>
          <w:sz w:val="20"/>
          <w:szCs w:val="20"/>
          <w:highlight w:val="none"/>
          <w:lang w:eastAsia="zh-CN"/>
        </w:rPr>
      </w:pPr>
    </w:p>
    <w:p>
      <w:pPr>
        <w:pStyle w:val="8"/>
        <w:rPr>
          <w:rFonts w:hint="eastAsia" w:ascii="宋体" w:hAnsi="宋体" w:eastAsia="宋体" w:cs="宋体"/>
          <w:highlight w:val="none"/>
          <w:lang w:val="en-US" w:eastAsia="zh-Hans"/>
        </w:rPr>
      </w:pPr>
    </w:p>
    <w:p>
      <w:pPr>
        <w:bidi w:val="0"/>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A5CA2"/>
    <w:rsid w:val="02223619"/>
    <w:rsid w:val="0A07702D"/>
    <w:rsid w:val="0CE76DD1"/>
    <w:rsid w:val="0DBA5CA2"/>
    <w:rsid w:val="10DC1F4E"/>
    <w:rsid w:val="2F2D451C"/>
    <w:rsid w:val="37A36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toc 1"/>
    <w:basedOn w:val="1"/>
    <w:next w:val="1"/>
    <w:unhideWhenUsed/>
    <w:qFormat/>
    <w:uiPriority w:val="39"/>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2025-04-28T12:13:00Z</dcterms:created>
  <dc:creator>Cherish</dc:creator>
  <cp:lastModifiedBy>Administrator</cp:lastModifiedBy>
  <dcterms:modified xsi:type="dcterms:W3CDTF">2025-05-20T08:23:25Z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38D9354A4D774C81B92FAC4E56DD1ACB</vt:lpwstr>
  </property>
</Properties>
</file>