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版本号：HXGJXM2025-ZC-CS103520250526002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陕西省总工会2025年度信息化项目密码应用安全性评估服务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HXGJXM2025-ZC-CS1035</w:t>
      </w:r>
      <w:r>
        <w:br/>
      </w:r>
      <w:r>
        <w:br/>
      </w:r>
      <w:r>
        <w:br/>
      </w:r>
    </w:p>
    <w:p>
      <w:pPr>
        <w:pStyle w:val="null3"/>
        <w:jc w:val="center"/>
        <w:outlineLvl w:val="2"/>
      </w:pPr>
      <w:r>
        <w:rPr>
          <w:rFonts w:ascii="仿宋_GB2312" w:hAnsi="仿宋_GB2312" w:cs="仿宋_GB2312" w:eastAsia="仿宋_GB2312"/>
          <w:sz w:val="28"/>
          <w:b/>
        </w:rPr>
        <w:t>省总工会本级</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省总工会本级</w:t>
      </w:r>
      <w:r>
        <w:rPr>
          <w:rFonts w:ascii="仿宋_GB2312" w:hAnsi="仿宋_GB2312" w:cs="仿宋_GB2312" w:eastAsia="仿宋_GB2312"/>
        </w:rPr>
        <w:t>委托，拟对</w:t>
      </w:r>
      <w:r>
        <w:rPr>
          <w:rFonts w:ascii="仿宋_GB2312" w:hAnsi="仿宋_GB2312" w:cs="仿宋_GB2312" w:eastAsia="仿宋_GB2312"/>
        </w:rPr>
        <w:t>陕西省总工会2025年度信息化项目密码应用安全性评估服务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陕西省总工会2025年度信息化项目密码应用安全性评估服务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省总工会2025年度信息化项目密码应用安全性评估服务项目，依照《信息安全技术信息系统密码应用基本要求》、《公安机关商用密码应用指南》等政策文件，对陕西省总工会协同办公平台、陕西省总工会官方网站、陕西省总工会财务综合管理平台、陕西省总工会“互联网+”工会经费税务代收系统、陕西省总工会职工服务平台、全国工会数据交换共享平台省级通道系统6个系统提供密码应用安全性评估服务，按照国家规范要求，制定测评方案和计划，明确测评指标、工具和方法，实施测评，并确保在测评过程中不影响被测评系统的正常运行，形成并协助完成密码应用方案，完成密码应用安全性评估报告，对各系统提出整改意见，跟踪整改进度，形成整改建议书，协助用户完成整改，对高风险项进行复测，并完成在密码管理部门的备案，为服务项目验收提供依据。具体要求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被授权人身份证及磋商截止日前一年内已缴存的至少一个月的社会保险参保缴费证明;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2、信用记录：供应商未被“信用中国”网站列入失信被执行人和重大税收违法失信主体，未被中国政府采购网列入政府采购严重违法失信行为记录名单</w:t>
      </w:r>
    </w:p>
    <w:p>
      <w:pPr>
        <w:pStyle w:val="null3"/>
      </w:pPr>
      <w:r>
        <w:rPr>
          <w:rFonts w:ascii="仿宋_GB2312" w:hAnsi="仿宋_GB2312" w:cs="仿宋_GB2312" w:eastAsia="仿宋_GB2312"/>
        </w:rPr>
        <w:t>3、单位资质：供应商应是具备商用密码检测机构资质证书</w:t>
      </w:r>
    </w:p>
    <w:p>
      <w:pPr>
        <w:pStyle w:val="null3"/>
      </w:pPr>
      <w:r>
        <w:rPr>
          <w:rFonts w:ascii="仿宋_GB2312" w:hAnsi="仿宋_GB2312" w:cs="仿宋_GB2312" w:eastAsia="仿宋_GB2312"/>
        </w:rPr>
        <w:t>4、磋商保证金：磋商保证金缴纳凭证或担保机构出具的保函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省总工会本级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西安市莲湖路389号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省总工会本级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029-87228981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陕西省西安市莲湖区二环南路西段202号九座花园16楼1605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丁杰、李小峰、康敏茹、张艳萍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开户名称：华夏国际项目管理有限公司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银行账号：3700024819200130193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不足6000元，按6000元收取。 成交单位在领取成交通知书前，须向采购代理机构一次性支付招标代理服务费。 招标代理服务费账户： 户名：华夏国际项目管理有限公司 开户行：工行西安城南科技支行 账号：3700024819200130193 请成交供应商按照要求将招 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省总工会本级</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省总工会本级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省总工会本级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联系人：丁杰、李小峰、康敏茹、张艳萍</w:t>
      </w:r>
    </w:p>
    <w:p>
      <w:pPr>
        <w:pStyle w:val="null3"/>
      </w:pPr>
      <w:r>
        <w:rPr>
          <w:rFonts w:ascii="仿宋_GB2312" w:hAnsi="仿宋_GB2312" w:cs="仿宋_GB2312" w:eastAsia="仿宋_GB2312"/>
        </w:rPr>
        <w:t>联系电话：029-88899970-862</w:t>
      </w:r>
    </w:p>
    <w:p>
      <w:pPr>
        <w:pStyle w:val="null3"/>
      </w:pPr>
      <w:r>
        <w:rPr>
          <w:rFonts w:ascii="仿宋_GB2312" w:hAnsi="仿宋_GB2312" w:cs="仿宋_GB2312" w:eastAsia="仿宋_GB2312"/>
        </w:rPr>
        <w:t>地址： 陕西省西安市莲湖区二环南路西段202号九座花园16楼1605</w:t>
      </w:r>
    </w:p>
    <w:p>
      <w:pPr>
        <w:pStyle w:val="null3"/>
      </w:pPr>
      <w:r>
        <w:rPr>
          <w:rFonts w:ascii="仿宋_GB2312" w:hAnsi="仿宋_GB2312" w:cs="仿宋_GB2312" w:eastAsia="仿宋_GB2312"/>
        </w:rPr>
        <w:t>邮编： 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省总工会2025年度信息化项目密码应用安全性评估服务项目，依照《信息安全技术信息系统密码应用基本要求》、《公安机关商用密码应用指南》等政策文件，对陕西省总工会协同办公平台、陕西省总工会官方网站、陕西省总工会财务综合管理平台、陕西省总工会“互联网+”工会经费税务代收系统、陕西省总工会职工服务平台、全国工会数据交换共享平台省级通道系统6个系统提供密码应用安全性评估服务，按照国家规范要求，制定测评方案和计划，明确测评指标、工具和方法，实施测评，并确保在测评过程中不影响被测评系统的正常运行，形成并协助完成密码应用方案，完成密码应用安全性评估报告，对各系统提出整改意见，跟踪整改进度，形成整改建议书，协助用户完成整改，对高风险项进行复测，并完成在密码管理部门的备案，为服务项目验收提供依据。具体要求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陕西省总工会2025年度信息化项目密码应用安全性评估服务项目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标的名称：陕西省总工会2025年度信息化项目密码应用安全性评估服务项目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1"/>
                <w:b/>
              </w:rPr>
              <w:t>1.项目总体目标：</w:t>
            </w:r>
          </w:p>
          <w:p>
            <w:pPr>
              <w:pStyle w:val="null3"/>
              <w:ind w:firstLine="400"/>
              <w:jc w:val="left"/>
            </w:pPr>
            <w:r>
              <w:rPr>
                <w:rFonts w:ascii="仿宋_GB2312" w:hAnsi="仿宋_GB2312" w:cs="仿宋_GB2312" w:eastAsia="仿宋_GB2312"/>
                <w:sz w:val="21"/>
              </w:rPr>
              <w:t>依照相关《信息系统密码应用基本要求》、《公安机关商用密码应用指南》等政策文件，对陕西省总工会职工服务平台、陕西省总工会协同办公平台等6个应用系统提供密码应用安全性评估服务，按照国家规范要求，制定测评方案，实施测评，提出整改意见，跟踪整改进度，为服务项目验收提供依据。</w:t>
            </w:r>
          </w:p>
          <w:tbl>
            <w:tblPr>
              <w:tblInd w:type="dxa" w:w="90"/>
              <w:tblBorders>
                <w:top w:val="none" w:color="000000" w:sz="4"/>
                <w:left w:val="none" w:color="000000" w:sz="4"/>
                <w:bottom w:val="none" w:color="000000" w:sz="4"/>
                <w:right w:val="none" w:color="000000" w:sz="4"/>
                <w:insideH w:val="none"/>
                <w:insideV w:val="none"/>
              </w:tblBorders>
            </w:tblPr>
            <w:tblGrid>
              <w:gridCol w:w="294"/>
              <w:gridCol w:w="1305"/>
              <w:gridCol w:w="505"/>
              <w:gridCol w:w="435"/>
            </w:tblGrid>
            <w:tr>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系统名称</w:t>
                  </w:r>
                </w:p>
              </w:tc>
              <w:tc>
                <w:tcPr>
                  <w:tcW w:type="dxa" w:w="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服务数量</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服务等级</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陕西省总工会职工服务平台</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三级</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陕西省总工会协同办公平台</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三级</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陕西省总工会官方网站</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三级</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陕西省工会财务综合管理平台</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三级</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陕西省总工会“互联网+”工会经费税务代收系统</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三级</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全国工会数据交换共享平台省级通道系统</w:t>
                  </w:r>
                </w:p>
              </w:tc>
              <w:tc>
                <w:tcPr>
                  <w:tcW w:type="dxa" w:w="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三级</w:t>
                  </w:r>
                </w:p>
              </w:tc>
            </w:tr>
          </w:tbl>
          <w:p>
            <w:pPr>
              <w:pStyle w:val="null3"/>
              <w:ind w:firstLine="402"/>
              <w:jc w:val="left"/>
            </w:pPr>
            <w:r>
              <w:rPr>
                <w:rFonts w:ascii="仿宋_GB2312" w:hAnsi="仿宋_GB2312" w:cs="仿宋_GB2312" w:eastAsia="仿宋_GB2312"/>
                <w:sz w:val="21"/>
                <w:b/>
              </w:rPr>
              <w:t>2.服务范围</w:t>
            </w:r>
          </w:p>
          <w:p>
            <w:pPr>
              <w:pStyle w:val="null3"/>
              <w:ind w:firstLine="400"/>
              <w:jc w:val="left"/>
            </w:pPr>
            <w:r>
              <w:rPr>
                <w:rFonts w:ascii="仿宋_GB2312" w:hAnsi="仿宋_GB2312" w:cs="仿宋_GB2312" w:eastAsia="仿宋_GB2312"/>
                <w:sz w:val="21"/>
              </w:rPr>
              <w:t>本项目密码测评服务主要针对陕西省总工会职工服务平台、陕西省总工会协同办公平台等6个应用系统开展商用密码应用安全评估。</w:t>
            </w:r>
          </w:p>
          <w:p>
            <w:pPr>
              <w:pStyle w:val="null3"/>
              <w:ind w:firstLine="402"/>
              <w:jc w:val="left"/>
            </w:pPr>
            <w:r>
              <w:rPr>
                <w:rFonts w:ascii="仿宋_GB2312" w:hAnsi="仿宋_GB2312" w:cs="仿宋_GB2312" w:eastAsia="仿宋_GB2312"/>
                <w:sz w:val="21"/>
                <w:b/>
              </w:rPr>
              <w:t>3.服务内容</w:t>
            </w:r>
          </w:p>
          <w:p>
            <w:pPr>
              <w:pStyle w:val="null3"/>
              <w:ind w:firstLine="400"/>
            </w:pPr>
            <w:r>
              <w:rPr>
                <w:rFonts w:ascii="仿宋_GB2312" w:hAnsi="仿宋_GB2312" w:cs="仿宋_GB2312" w:eastAsia="仿宋_GB2312"/>
                <w:sz w:val="21"/>
              </w:rPr>
              <w:t>按照GM/T 39786-2021《信息系统密码应用基本要求》及通过评估的密码应用方案对系统进行评估，采取材料审查、人员访谈、实地查看、配置检查、工具测评等评估方法对系统密码应用情况进行评估分析，核查系统技术应用、密钥管理、安全管理是否符合密评要求；对评估过程中发现的问题进行汇总确认，总结各项评估指标的评估结果，编制评估报告；对各系统提出整改意见，跟踪整改进度，形成整改建议书，协助用户完成整改，对高风险项进行复测，并完成在密码管理部门的备案。具体内容包括：</w:t>
            </w:r>
          </w:p>
          <w:tbl>
            <w:tblPr>
              <w:tblInd w:type="dxa" w:w="90"/>
              <w:tblBorders>
                <w:top w:val="none" w:color="000000" w:sz="4"/>
                <w:left w:val="none" w:color="000000" w:sz="4"/>
                <w:bottom w:val="none" w:color="000000" w:sz="4"/>
                <w:right w:val="none" w:color="000000" w:sz="4"/>
                <w:insideH w:val="none"/>
                <w:insideV w:val="none"/>
              </w:tblBorders>
            </w:tblPr>
            <w:tblGrid>
              <w:gridCol w:w="252"/>
              <w:gridCol w:w="441"/>
              <w:gridCol w:w="641"/>
              <w:gridCol w:w="1211"/>
            </w:tblGrid>
            <w:tr>
              <w:tc>
                <w:tcPr>
                  <w:tcW w:type="dxa" w:w="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服务内容</w:t>
                  </w:r>
                </w:p>
              </w:tc>
              <w:tc>
                <w:tcPr>
                  <w:tcW w:type="dxa" w:w="6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服务内容子项</w:t>
                  </w:r>
                </w:p>
              </w:tc>
              <w:tc>
                <w:tcPr>
                  <w:tcW w:type="dxa" w:w="12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工作内容</w:t>
                  </w: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需求沟通确认</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需求沟通调研和确认工作实施要求</w:t>
                  </w:r>
                </w:p>
              </w:tc>
              <w:tc>
                <w:tcPr>
                  <w:tcW w:type="dxa" w:w="1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对安全评估的组织实施流程、风险管控效果、时间节点、交付成果、评估方式等基础信息进行沟通核实，确认服务需求和工作要求</w:t>
                  </w: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基础材料搜集整理和现场沟通采集</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按照评估准备实施要求，搜集整理必要素材</w:t>
                  </w:r>
                </w:p>
              </w:tc>
              <w:tc>
                <w:tcPr>
                  <w:tcW w:type="dxa" w:w="1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通过远程或现场会议方式与业务研发、运维部门技术团队和保障团队沟通评估所需基础素材、文档等必要信息</w:t>
                  </w: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密码应用方案评估</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密码应用方案</w:t>
                  </w:r>
                </w:p>
                <w:p>
                  <w:pPr>
                    <w:pStyle w:val="null3"/>
                    <w:jc w:val="both"/>
                  </w:pPr>
                  <w:r>
                    <w:rPr>
                      <w:rFonts w:ascii="仿宋_GB2312" w:hAnsi="仿宋_GB2312" w:cs="仿宋_GB2312" w:eastAsia="仿宋_GB2312"/>
                      <w:sz w:val="21"/>
                      <w:color w:val="000000"/>
                    </w:rPr>
                    <w:t>评估</w:t>
                  </w:r>
                </w:p>
              </w:tc>
              <w:tc>
                <w:tcPr>
                  <w:tcW w:type="dxa" w:w="1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对委托方制定的密码应用方案进行评估，出具《密码应用方案评估报告》</w:t>
                  </w: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系统评估</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依据GB/T 39786-2021《信息系统密码应用基本要求》等标准进行测评</w:t>
                  </w:r>
                </w:p>
              </w:tc>
              <w:tc>
                <w:tcPr>
                  <w:tcW w:type="dxa" w:w="1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按照GB/T 39786-2021《信息系统密码应用基本要求》及通过评估的密码应用方案对系统进行评估，采取材料审查、人员访谈、实地查看、配置检查、工具测评等评估方法对系统密码应用情况进行评估分析，核查系统技术应用、密钥管理、安全管理是否符合密评要求。</w:t>
                  </w:r>
                </w:p>
              </w:tc>
            </w:tr>
            <w:tr>
              <w:tc>
                <w:tcPr>
                  <w:tcW w:type="dxa" w:w="25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报告编制</w:t>
                  </w:r>
                </w:p>
              </w:tc>
              <w:tc>
                <w:tcPr>
                  <w:tcW w:type="dxa" w:w="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编制评估报告</w:t>
                  </w:r>
                </w:p>
              </w:tc>
              <w:tc>
                <w:tcPr>
                  <w:tcW w:type="dxa" w:w="121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对评估过程中发现的问题进行汇总确认，总结各项评估指标的评估结果，编制评估报告。</w:t>
                  </w:r>
                </w:p>
              </w:tc>
            </w:tr>
          </w:tbl>
          <w:p>
            <w:pPr>
              <w:pStyle w:val="null3"/>
              <w:ind w:firstLine="400"/>
            </w:pPr>
            <w:r>
              <w:rPr>
                <w:rFonts w:ascii="仿宋_GB2312" w:hAnsi="仿宋_GB2312" w:cs="仿宋_GB2312" w:eastAsia="仿宋_GB2312"/>
                <w:sz w:val="21"/>
              </w:rPr>
              <w:t>开展商用密码应用安全性评估，从通用要求、物理和环境、网络和通信、设备和计算、应用和数据、管理制度、人员管理、建设运行、应急处置等方面开展测评，具体测评指标如下（以等级保护第三级信息系统为例）：</w:t>
            </w:r>
          </w:p>
          <w:tbl>
            <w:tblPr>
              <w:tblInd w:type="dxa" w:w="90"/>
              <w:tblBorders>
                <w:top w:val="none" w:color="000000" w:sz="4"/>
                <w:left w:val="none" w:color="000000" w:sz="4"/>
                <w:bottom w:val="none" w:color="000000" w:sz="4"/>
                <w:right w:val="none" w:color="000000" w:sz="4"/>
                <w:insideH w:val="none"/>
                <w:insideV w:val="none"/>
              </w:tblBorders>
            </w:tblPr>
            <w:tblGrid>
              <w:gridCol w:w="289"/>
              <w:gridCol w:w="659"/>
              <w:gridCol w:w="1592"/>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测评层面</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测评单元</w:t>
                  </w:r>
                </w:p>
              </w:tc>
              <w:tc>
                <w:tcPr>
                  <w:tcW w:type="dxa" w:w="1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指标要求</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物理和环境安全</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身份鉴别</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宜采用密码技术进行物理访问身份鉴别，保证重要区域进入人员身份的真实性。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电子门禁记录数据存储完整性</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宜采用密码技术保证电子门禁系统进出记录数据的存储完整性。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视频监控记录数据存储完整性</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宜采用密码技术保证视频监控音像记录数据的存储完整性。</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网络和通信安全</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身份鉴别</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应采用密码技术对通信实体进行身份鉴别，保证通信实体身份的真实性。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通信数据完整性</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宜采用密码技术保证通信过程中数据的完整性。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通信过程中重要数据的机密性</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应采用密码技术保证通信过程中重要数据的机密性。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网络边界访问控制信息的完整性</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宜采用密码技术保证网络边界访问控制信息的完整性。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安全接入认证</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可采用密码技术对从外部连接到内部网络的设备进行接入认证，确保接入的设备身份真实性。</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设备和计算安全</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身份鉴别</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应采用密码技术对登录设备的用户进行身份鉴别，保证用户身份的真实性。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远程管理通道安全</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远程管理设备时，应采用密码技术建立安全的信息传输通道。</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系统资源访问控制信息完整性</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宜采用密码技术保证系统资源访问控制信息的完整性。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重要信息资源安全标记完整性</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宜采用密码技术保证设备中的重要信息资源安全标记的完整性。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日志记录完整性</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宜采用密码技术保证日志记录的完整性。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重要可执行程序完整性、重要可执行程序来源真实性</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宜采用密码技术对重要可执行程序进行完整性保护，并对其来源进行真实性验证。</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应用和数据安全</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身份鉴别</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应采用密码技术对登录用户进行身份鉴别，保证应用系统用户身份的真实性。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访问控制信息完整性</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宜采用密码技术保证信息系统应用的访问控制信息的完整性。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重要信息资源安全标记完整性</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宜采用密码技术保证信息系统应用的重要信息资源安全标记的完整性；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重要数据传输机密性</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应采用密码技术保证信息系统应用的重要数据在传输过程中的机密性。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重要数据存储机密性</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应采用密码技术保证信息系统应用的重要数据在存储过程中的机密性。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重要数据传输完整性</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宜采用密码技术保证信息系统应用的重要数据在传输过程中的完整性。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重要数据存储完整性</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宜采用密码技术保证信息系统应用的重要数据在存储过程中的完整性；</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不可否认性</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在可能涉及法律责任认定的应用中，宜采用密码技术提供数据原发证据和数据接收证据，实现数据原发行为的不可否认性和数据接收行为的不可否认性。</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管理制度</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具备密码应用安全管理制度</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应具备密码应用安全管理制度，包括密码人员管理、密钥管理、建设运行、应急处置、密码软硬件及介质管理等制度；</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密钥管理规则</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应根据密码应用方案建立相应密钥管理规则；</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建立操作规程</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应对管理人员或操作人员执行的日常管理操作建立操作规程；</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定期修订安全管理制度</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应定期对密码应用安全管理制度和操作规程的合理性和适用性进行论证和审定，对存在不足或需要改进之处进行修订；</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明确管理制度发布流程</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应明确相关密码应用安全管理制度和操作规程的发布流程并进行版本控制；</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制度执行过程记录留存</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应具有密码应用操作规程的相关执行记录并妥善保存。</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人员管理</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了解并遵守密码相关法律法规和密码管理制度</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相关人员应了解并遵守密码相关法律法规、密码应用安全管理制度；</w:t>
                  </w:r>
                </w:p>
              </w:tc>
            </w:tr>
            <w:tr>
              <w:tc>
                <w:tcPr>
                  <w:tcW w:type="dxa" w:w="289"/>
                  <w:vMerge/>
                  <w:tcBorders>
                    <w:top w:val="none" w:color="000000" w:sz="4"/>
                    <w:left w:val="single" w:color="000000" w:sz="4"/>
                    <w:bottom w:val="single" w:color="000000" w:sz="4"/>
                    <w:right w:val="single" w:color="000000" w:sz="4"/>
                  </w:tcBorders>
                </w:tcPr>
                <w:p/>
              </w:tc>
              <w:tc>
                <w:tcPr>
                  <w:tcW w:type="dxa" w:w="6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建立密码应用岗位责任制度</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应建立密码应用岗位责任制度，明确各岗位在安全系统中的职责和权限：</w:t>
                  </w:r>
                </w:p>
              </w:tc>
            </w:tr>
            <w:tr>
              <w:tc>
                <w:tcPr>
                  <w:tcW w:type="dxa" w:w="289"/>
                  <w:vMerge/>
                  <w:tcBorders>
                    <w:top w:val="none" w:color="000000" w:sz="4"/>
                    <w:left w:val="single" w:color="000000" w:sz="4"/>
                    <w:bottom w:val="single" w:color="000000" w:sz="4"/>
                    <w:right w:val="single" w:color="000000" w:sz="4"/>
                  </w:tcBorders>
                </w:tcPr>
                <w:p/>
              </w:tc>
              <w:tc>
                <w:tcPr>
                  <w:tcW w:type="dxa" w:w="659"/>
                  <w:vMerge/>
                  <w:tcBorders>
                    <w:top w:val="none" w:color="000000" w:sz="4"/>
                    <w:left w:val="none" w:color="000000" w:sz="4"/>
                    <w:bottom w:val="single" w:color="000000" w:sz="4"/>
                    <w:right w:val="single" w:color="000000" w:sz="4"/>
                  </w:tcBorders>
                </w:tcP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根据密码应用的实际情况，设置密钥管理员、密码安全审计员、密码操作员等关键安全岗位；</w:t>
                  </w:r>
                </w:p>
              </w:tc>
            </w:tr>
            <w:tr>
              <w:tc>
                <w:tcPr>
                  <w:tcW w:type="dxa" w:w="289"/>
                  <w:vMerge/>
                  <w:tcBorders>
                    <w:top w:val="none" w:color="000000" w:sz="4"/>
                    <w:left w:val="single" w:color="000000" w:sz="4"/>
                    <w:bottom w:val="single" w:color="000000" w:sz="4"/>
                    <w:right w:val="single" w:color="000000" w:sz="4"/>
                  </w:tcBorders>
                </w:tcPr>
                <w:p/>
              </w:tc>
              <w:tc>
                <w:tcPr>
                  <w:tcW w:type="dxa" w:w="659"/>
                  <w:vMerge/>
                  <w:tcBorders>
                    <w:top w:val="none" w:color="000000" w:sz="4"/>
                    <w:left w:val="none" w:color="000000" w:sz="4"/>
                    <w:bottom w:val="single" w:color="000000" w:sz="4"/>
                    <w:right w:val="single" w:color="000000" w:sz="4"/>
                  </w:tcBorders>
                </w:tcP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对关键岗位建立多人共管机制；</w:t>
                  </w:r>
                </w:p>
              </w:tc>
            </w:tr>
            <w:tr>
              <w:tc>
                <w:tcPr>
                  <w:tcW w:type="dxa" w:w="289"/>
                  <w:vMerge/>
                  <w:tcBorders>
                    <w:top w:val="none" w:color="000000" w:sz="4"/>
                    <w:left w:val="single" w:color="000000" w:sz="4"/>
                    <w:bottom w:val="single" w:color="000000" w:sz="4"/>
                    <w:right w:val="single" w:color="000000" w:sz="4"/>
                  </w:tcBorders>
                </w:tcPr>
                <w:p/>
              </w:tc>
              <w:tc>
                <w:tcPr>
                  <w:tcW w:type="dxa" w:w="659"/>
                  <w:vMerge/>
                  <w:tcBorders>
                    <w:top w:val="none" w:color="000000" w:sz="4"/>
                    <w:left w:val="none" w:color="000000" w:sz="4"/>
                    <w:bottom w:val="single" w:color="000000" w:sz="4"/>
                    <w:right w:val="single" w:color="000000" w:sz="4"/>
                  </w:tcBorders>
                </w:tcP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密钥管理、密码安全审计、密码操作人员职责互相制约互相监督，其中密码安全审计员岗位不可与密钥管理员、密码操作员兼任；</w:t>
                  </w:r>
                </w:p>
              </w:tc>
            </w:tr>
            <w:tr>
              <w:tc>
                <w:tcPr>
                  <w:tcW w:type="dxa" w:w="289"/>
                  <w:vMerge/>
                  <w:tcBorders>
                    <w:top w:val="none" w:color="000000" w:sz="4"/>
                    <w:left w:val="single" w:color="000000" w:sz="4"/>
                    <w:bottom w:val="single" w:color="000000" w:sz="4"/>
                    <w:right w:val="single" w:color="000000" w:sz="4"/>
                  </w:tcBorders>
                </w:tcPr>
                <w:p/>
              </w:tc>
              <w:tc>
                <w:tcPr>
                  <w:tcW w:type="dxa" w:w="659"/>
                  <w:vMerge/>
                  <w:tcBorders>
                    <w:top w:val="none" w:color="000000" w:sz="4"/>
                    <w:left w:val="none" w:color="000000" w:sz="4"/>
                    <w:bottom w:val="single" w:color="000000" w:sz="4"/>
                    <w:right w:val="single" w:color="000000" w:sz="4"/>
                  </w:tcBorders>
                </w:tcP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相关设备与系统的管理和使用账号不得多人共用。</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建立上岗人员培训制度</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应建立上岗人员培训制度，对于涉及密码的操作和管理的人员进行专门培训，确保其具备岗位所需专业技能；</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定期进行安全岗位人员考核</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应定期对密码应用安全岗位人员进行考核；</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建立关键岗位人员保密制度和调离制度</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应建立关键人员保密制度和调离制度，签订保密合同，承担保密义务。</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建设运行</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制定密码应用方案</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应依据密码相关标准和密码应用需求，制定密码应用方案；</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制定密钥安全管理策略</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应根据密码应用方案，确定系统涉及的密钥种类、体系及其生命周期环节，各环节密钥管理要求参照附录</w:t>
                  </w:r>
                  <w:r>
                    <w:rPr>
                      <w:rFonts w:ascii="仿宋_GB2312" w:hAnsi="仿宋_GB2312" w:cs="仿宋_GB2312" w:eastAsia="仿宋_GB2312"/>
                      <w:sz w:val="21"/>
                      <w:color w:val="000000"/>
                    </w:rPr>
                    <w:t>B</w:t>
                  </w:r>
                  <w:r>
                    <w:rPr>
                      <w:rFonts w:ascii="仿宋_GB2312" w:hAnsi="仿宋_GB2312" w:cs="仿宋_GB2312" w:eastAsia="仿宋_GB2312"/>
                      <w:sz w:val="21"/>
                      <w:color w:val="000000"/>
                    </w:rPr>
                    <w:t>；</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制定实施方案</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应按照应用方案实施建设；</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投入运行前进行密码应用安全性评估</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投入运行前应进行密码应用安全性评估，评估通过后系统方可正式运行；</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定期开展密码应用安全性评估及攻防对抗演习</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在运行过程中，应严格执行既定的密码应用安全管理制度，应定期开展密码应用安全性评估及攻防对抗演习，并根据评估结果进行整改。</w:t>
                  </w:r>
                </w:p>
              </w:tc>
            </w:tr>
            <w:tr>
              <w:tc>
                <w:tcPr>
                  <w:tcW w:type="dxa" w:w="2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应急处置</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应急策略</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应制定密码应用应急策略，做好应急资源准备，当密码应用安全事件发生时，应立即启动应急处置措施，结合实际情况及时处置；</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事件处置</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事件发生后，应及时向信息系统主管部门进行报告；</w:t>
                  </w:r>
                </w:p>
              </w:tc>
            </w:tr>
            <w:tr>
              <w:tc>
                <w:tcPr>
                  <w:tcW w:type="dxa" w:w="289"/>
                  <w:vMerge/>
                  <w:tcBorders>
                    <w:top w:val="none" w:color="000000" w:sz="4"/>
                    <w:left w:val="single" w:color="000000" w:sz="4"/>
                    <w:bottom w:val="single" w:color="000000" w:sz="4"/>
                    <w:right w:val="single" w:color="000000" w:sz="4"/>
                  </w:tcBorders>
                </w:tc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向有关主管部门上报处置情况</w:t>
                  </w:r>
                </w:p>
              </w:tc>
              <w:tc>
                <w:tcPr>
                  <w:tcW w:type="dxa" w:w="1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事件处置完成后，应及时向信息系统主管部门及归属的密码管理部门报告事件发生情况及处置情况。</w:t>
                  </w:r>
                </w:p>
              </w:tc>
            </w:tr>
          </w:tbl>
          <w:p>
            <w:pPr>
              <w:pStyle w:val="null3"/>
              <w:ind w:firstLine="402"/>
            </w:pPr>
            <w:r>
              <w:rPr>
                <w:rFonts w:ascii="仿宋_GB2312" w:hAnsi="仿宋_GB2312" w:cs="仿宋_GB2312" w:eastAsia="仿宋_GB2312"/>
                <w:sz w:val="21"/>
                <w:b/>
              </w:rPr>
              <w:t>4.服务要求</w:t>
            </w:r>
          </w:p>
          <w:p>
            <w:pPr>
              <w:pStyle w:val="null3"/>
              <w:ind w:firstLine="400"/>
            </w:pPr>
            <w:r>
              <w:rPr>
                <w:rFonts w:ascii="仿宋_GB2312" w:hAnsi="仿宋_GB2312" w:cs="仿宋_GB2312" w:eastAsia="仿宋_GB2312"/>
                <w:sz w:val="21"/>
              </w:rPr>
              <w:t>4.1技术要求</w:t>
            </w:r>
          </w:p>
          <w:p>
            <w:pPr>
              <w:pStyle w:val="null3"/>
              <w:ind w:firstLine="400"/>
            </w:pPr>
            <w:r>
              <w:rPr>
                <w:rFonts w:ascii="仿宋_GB2312" w:hAnsi="仿宋_GB2312" w:cs="仿宋_GB2312" w:eastAsia="仿宋_GB2312"/>
                <w:sz w:val="21"/>
              </w:rPr>
              <w:t>测评机构按照GM/T 39786-2021《信息系统密码应用基本要求》对系统进行评估，密码应用测评须满足合规性、正确性、有效性。合规性，指信息系统中的密码算法、密码协议、密钥管理、密码产品和服务使用合规；使用符合国家密码法规和标准规定的商用密码算法，使用经检测认证合格的商用密码产品或服务。正确性，指信息系统中的密码算法、密码协议、密钥管理、密码产品和服务使用正确。即釆用的密码算法、协议和密钥管理机制按照相应的密码国家和行业标准进行正确的设计和实现；密码保障系统建设或改造过程中密码产品和服务的部署和应用正确。有效性，指信息系统釆用的密码协议、密钥管理系统、密码应用子系统和密码安全防护机制不仅设计合理，而且在系统运行过程中能够发挥密码效用，保障信息的机密性、完整性、真实性、抗抵赖性。</w:t>
            </w:r>
          </w:p>
          <w:p>
            <w:pPr>
              <w:pStyle w:val="null3"/>
              <w:ind w:firstLine="400"/>
            </w:pPr>
            <w:r>
              <w:rPr>
                <w:rFonts w:ascii="仿宋_GB2312" w:hAnsi="仿宋_GB2312" w:cs="仿宋_GB2312" w:eastAsia="仿宋_GB2312"/>
                <w:sz w:val="21"/>
              </w:rPr>
              <w:t>4.2进度要求</w:t>
            </w:r>
          </w:p>
          <w:p>
            <w:pPr>
              <w:pStyle w:val="null3"/>
              <w:ind w:firstLine="400"/>
            </w:pPr>
            <w:r>
              <w:rPr>
                <w:rFonts w:ascii="仿宋_GB2312" w:hAnsi="仿宋_GB2312" w:cs="仿宋_GB2312" w:eastAsia="仿宋_GB2312"/>
                <w:sz w:val="21"/>
              </w:rPr>
              <w:t>4.2.1进度管理</w:t>
            </w:r>
          </w:p>
          <w:p>
            <w:pPr>
              <w:pStyle w:val="null3"/>
              <w:ind w:firstLine="400"/>
            </w:pPr>
            <w:r>
              <w:rPr>
                <w:rFonts w:ascii="仿宋_GB2312" w:hAnsi="仿宋_GB2312" w:cs="仿宋_GB2312" w:eastAsia="仿宋_GB2312"/>
                <w:sz w:val="21"/>
              </w:rPr>
              <w:t>（1）服务期限为自测评服务合同签订之日起至项目通过验收。</w:t>
            </w:r>
          </w:p>
          <w:p>
            <w:pPr>
              <w:pStyle w:val="null3"/>
              <w:ind w:firstLine="400"/>
            </w:pPr>
            <w:r>
              <w:rPr>
                <w:rFonts w:ascii="仿宋_GB2312" w:hAnsi="仿宋_GB2312" w:cs="仿宋_GB2312" w:eastAsia="仿宋_GB2312"/>
                <w:sz w:val="21"/>
              </w:rPr>
              <w:t>（2）投标方应在所投标的技术方案书中提交详细的项目组织及实施规划，并且提交从合同签订之日起的周工作进度安排计划，须严格按照项目进度要求开展项目工作。</w:t>
            </w:r>
          </w:p>
          <w:p>
            <w:pPr>
              <w:pStyle w:val="null3"/>
              <w:ind w:firstLine="400"/>
            </w:pPr>
            <w:r>
              <w:rPr>
                <w:rFonts w:ascii="仿宋_GB2312" w:hAnsi="仿宋_GB2312" w:cs="仿宋_GB2312" w:eastAsia="仿宋_GB2312"/>
                <w:sz w:val="21"/>
              </w:rPr>
              <w:t>（3）须严格按照项目阶段设计项目里程碑和里程碑产出物。</w:t>
            </w:r>
          </w:p>
          <w:p>
            <w:pPr>
              <w:pStyle w:val="null3"/>
              <w:ind w:firstLine="400"/>
            </w:pPr>
            <w:r>
              <w:rPr>
                <w:rFonts w:ascii="仿宋_GB2312" w:hAnsi="仿宋_GB2312" w:cs="仿宋_GB2312" w:eastAsia="仿宋_GB2312"/>
                <w:sz w:val="21"/>
              </w:rPr>
              <w:t>（4）投标方须严格按照项目里程碑开展工作。招标方将根据里程碑和里程碑产出物审核投标方工作。</w:t>
            </w:r>
          </w:p>
          <w:p>
            <w:pPr>
              <w:pStyle w:val="null3"/>
              <w:ind w:firstLine="400"/>
            </w:pPr>
            <w:r>
              <w:rPr>
                <w:rFonts w:ascii="仿宋_GB2312" w:hAnsi="仿宋_GB2312" w:cs="仿宋_GB2312" w:eastAsia="仿宋_GB2312"/>
                <w:sz w:val="21"/>
              </w:rPr>
              <w:t>（5）若由于投标方自身原因导致项目进度滞后于项目里程碑计划，招标方可根据合同要求追究投标方责任。</w:t>
            </w:r>
          </w:p>
          <w:p>
            <w:pPr>
              <w:pStyle w:val="null3"/>
              <w:ind w:firstLine="400"/>
            </w:pPr>
            <w:r>
              <w:rPr>
                <w:rFonts w:ascii="仿宋_GB2312" w:hAnsi="仿宋_GB2312" w:cs="仿宋_GB2312" w:eastAsia="仿宋_GB2312"/>
                <w:sz w:val="21"/>
              </w:rPr>
              <w:t>4.2.2验收期限</w:t>
            </w:r>
          </w:p>
          <w:p>
            <w:pPr>
              <w:pStyle w:val="null3"/>
              <w:ind w:firstLine="400"/>
            </w:pPr>
            <w:r>
              <w:rPr>
                <w:rFonts w:ascii="仿宋_GB2312" w:hAnsi="仿宋_GB2312" w:cs="仿宋_GB2312" w:eastAsia="仿宋_GB2312"/>
                <w:sz w:val="21"/>
              </w:rPr>
              <w:t xml:space="preserve">在合同生效之日起一年内，完成本项目所有内容并通过项目验收，要求验收前40个工作日前，按采购人要求提交本项目验收前置审核有关成果资料。  </w:t>
            </w:r>
          </w:p>
          <w:p>
            <w:pPr>
              <w:pStyle w:val="null3"/>
              <w:ind w:firstLine="400"/>
            </w:pPr>
            <w:r>
              <w:rPr>
                <w:rFonts w:ascii="仿宋_GB2312" w:hAnsi="仿宋_GB2312" w:cs="仿宋_GB2312" w:eastAsia="仿宋_GB2312"/>
                <w:sz w:val="21"/>
              </w:rPr>
              <w:t>4.2.3成果交付期限</w:t>
            </w:r>
          </w:p>
          <w:p>
            <w:pPr>
              <w:pStyle w:val="null3"/>
              <w:ind w:firstLine="400"/>
            </w:pPr>
            <w:r>
              <w:rPr>
                <w:rFonts w:ascii="仿宋_GB2312" w:hAnsi="仿宋_GB2312" w:cs="仿宋_GB2312" w:eastAsia="仿宋_GB2312"/>
                <w:sz w:val="21"/>
              </w:rPr>
              <w:t>在测评系统组织验收前10个工作日内。</w:t>
            </w:r>
          </w:p>
          <w:p>
            <w:pPr>
              <w:pStyle w:val="null3"/>
              <w:ind w:firstLine="402"/>
            </w:pPr>
            <w:r>
              <w:rPr>
                <w:rFonts w:ascii="仿宋_GB2312" w:hAnsi="仿宋_GB2312" w:cs="仿宋_GB2312" w:eastAsia="仿宋_GB2312"/>
                <w:sz w:val="21"/>
                <w:b/>
              </w:rPr>
              <w:t>5.管理要求</w:t>
            </w:r>
          </w:p>
          <w:p>
            <w:pPr>
              <w:pStyle w:val="null3"/>
              <w:ind w:firstLine="400"/>
            </w:pPr>
            <w:r>
              <w:rPr>
                <w:rFonts w:ascii="仿宋_GB2312" w:hAnsi="仿宋_GB2312" w:cs="仿宋_GB2312" w:eastAsia="仿宋_GB2312"/>
                <w:sz w:val="21"/>
              </w:rPr>
              <w:t>5.1服务人员</w:t>
            </w:r>
          </w:p>
          <w:p>
            <w:pPr>
              <w:pStyle w:val="null3"/>
              <w:ind w:firstLine="400"/>
            </w:pPr>
            <w:r>
              <w:rPr>
                <w:rFonts w:ascii="仿宋_GB2312" w:hAnsi="仿宋_GB2312" w:cs="仿宋_GB2312" w:eastAsia="仿宋_GB2312"/>
                <w:sz w:val="21"/>
              </w:rPr>
              <w:t>在项目负责人员方面，应包括一名专职负责的项目经理；在实施期内，项目经理应根据项目需要到指定现场处理问题或交流情况。为应对可能发生的多系统同时测评，供应商应保证为本项目配备足够的现场测评技术人员，构建测评工具环境，合理划分为若干个测评小组，同时应保证足够的场外支持人员，在技能上要有软件测试、软件设计、网络安全和密码安全等领域的专业人员。为保证项目顺利开展，测评团队应为本项目配备项目管理人员以及质量保证人员。</w:t>
            </w:r>
          </w:p>
          <w:p>
            <w:pPr>
              <w:pStyle w:val="null3"/>
              <w:ind w:firstLine="400"/>
            </w:pPr>
            <w:r>
              <w:rPr>
                <w:rFonts w:ascii="仿宋_GB2312" w:hAnsi="仿宋_GB2312" w:cs="仿宋_GB2312" w:eastAsia="仿宋_GB2312"/>
                <w:sz w:val="21"/>
              </w:rPr>
              <w:t>5.2组织实施要求</w:t>
            </w:r>
          </w:p>
          <w:p>
            <w:pPr>
              <w:pStyle w:val="null3"/>
              <w:ind w:firstLine="400"/>
            </w:pPr>
            <w:r>
              <w:rPr>
                <w:rFonts w:ascii="仿宋_GB2312" w:hAnsi="仿宋_GB2312" w:cs="仿宋_GB2312" w:eastAsia="仿宋_GB2312"/>
                <w:sz w:val="21"/>
              </w:rPr>
              <w:t>实施方式：派遣驻场工程师在采购人指定的现场开展驻场技术服务，同时支持通过现场、电话、网络等多种方式对采购人的技术需求进行支持和响应。</w:t>
            </w:r>
          </w:p>
          <w:p>
            <w:pPr>
              <w:pStyle w:val="null3"/>
              <w:ind w:firstLine="400"/>
            </w:pPr>
            <w:r>
              <w:rPr>
                <w:rFonts w:ascii="仿宋_GB2312" w:hAnsi="仿宋_GB2312" w:cs="仿宋_GB2312" w:eastAsia="仿宋_GB2312"/>
                <w:sz w:val="21"/>
              </w:rPr>
              <w:t>管理要求：为保障项目按时、按质、按量有序实施，供应商须建立稳定的项目团队、组织管理机构、协调管理机制，配备专业专职技术服务队伍,提供技术保障支撑保障要求。</w:t>
            </w:r>
          </w:p>
          <w:p>
            <w:pPr>
              <w:pStyle w:val="null3"/>
              <w:ind w:firstLine="400"/>
            </w:pPr>
            <w:r>
              <w:rPr>
                <w:rFonts w:ascii="仿宋_GB2312" w:hAnsi="仿宋_GB2312" w:cs="仿宋_GB2312" w:eastAsia="仿宋_GB2312"/>
                <w:sz w:val="21"/>
              </w:rPr>
              <w:t>5.3成果要求</w:t>
            </w:r>
          </w:p>
          <w:p>
            <w:pPr>
              <w:pStyle w:val="null3"/>
              <w:ind w:firstLine="400"/>
            </w:pPr>
            <w:r>
              <w:rPr>
                <w:rFonts w:ascii="仿宋_GB2312" w:hAnsi="仿宋_GB2312" w:cs="仿宋_GB2312" w:eastAsia="仿宋_GB2312"/>
                <w:sz w:val="21"/>
              </w:rPr>
              <w:t>供应商须保证项目文档的完整性，在项目实施各阶段按时完成相关技术文档的编写（重要文档须经采购人审核确认），在项目完成时协助采购人完成项目归档相关工作。</w:t>
            </w:r>
          </w:p>
          <w:p>
            <w:pPr>
              <w:pStyle w:val="null3"/>
              <w:ind w:firstLine="400"/>
            </w:pPr>
            <w:r>
              <w:rPr>
                <w:rFonts w:ascii="仿宋_GB2312" w:hAnsi="仿宋_GB2312" w:cs="仿宋_GB2312" w:eastAsia="仿宋_GB2312"/>
                <w:sz w:val="21"/>
              </w:rPr>
              <w:t>5.3.1文档成果</w:t>
            </w:r>
          </w:p>
          <w:p>
            <w:pPr>
              <w:pStyle w:val="null3"/>
              <w:ind w:firstLine="400"/>
            </w:pPr>
            <w:r>
              <w:rPr>
                <w:rFonts w:ascii="仿宋_GB2312" w:hAnsi="仿宋_GB2312" w:cs="仿宋_GB2312" w:eastAsia="仿宋_GB2312"/>
                <w:sz w:val="21"/>
              </w:rPr>
              <w:t>除实际的服务工作，本项目须提交文档成果，包括纸质文档装订成册3套，电子文档1套（电子版与纸质版内容一致），包括但不限于以下文档成果：</w:t>
            </w:r>
          </w:p>
          <w:p>
            <w:pPr>
              <w:pStyle w:val="null3"/>
              <w:ind w:firstLine="400"/>
            </w:pPr>
            <w:r>
              <w:rPr>
                <w:rFonts w:ascii="仿宋_GB2312" w:hAnsi="仿宋_GB2312" w:cs="仿宋_GB2312" w:eastAsia="仿宋_GB2312"/>
                <w:sz w:val="21"/>
              </w:rPr>
              <w:t>密码应用测评方案、密码应用测评记录、密码应用测评报告（需包含测评依据、测评过程、测评内容、测评结果及测评结论）、密码应用测评整改建议。</w:t>
            </w:r>
          </w:p>
          <w:p>
            <w:pPr>
              <w:pStyle w:val="null3"/>
              <w:ind w:firstLine="400"/>
            </w:pPr>
            <w:r>
              <w:rPr>
                <w:rFonts w:ascii="仿宋_GB2312" w:hAnsi="仿宋_GB2312" w:cs="仿宋_GB2312" w:eastAsia="仿宋_GB2312"/>
                <w:sz w:val="21"/>
              </w:rPr>
              <w:t>5.3.2交付地点</w:t>
            </w:r>
          </w:p>
          <w:p>
            <w:pPr>
              <w:pStyle w:val="null3"/>
              <w:ind w:firstLine="400"/>
            </w:pPr>
            <w:r>
              <w:rPr>
                <w:rFonts w:ascii="仿宋_GB2312" w:hAnsi="仿宋_GB2312" w:cs="仿宋_GB2312" w:eastAsia="仿宋_GB2312"/>
                <w:sz w:val="21"/>
              </w:rPr>
              <w:t>采购人指定地点。</w:t>
            </w:r>
          </w:p>
          <w:p>
            <w:pPr>
              <w:pStyle w:val="null3"/>
              <w:ind w:firstLine="402"/>
            </w:pPr>
            <w:r>
              <w:rPr>
                <w:rFonts w:ascii="仿宋_GB2312" w:hAnsi="仿宋_GB2312" w:cs="仿宋_GB2312" w:eastAsia="仿宋_GB2312"/>
                <w:sz w:val="21"/>
                <w:b/>
              </w:rPr>
              <w:t>6.验收标准</w:t>
            </w:r>
            <w:r>
              <w:rPr>
                <w:rFonts w:ascii="仿宋_GB2312" w:hAnsi="仿宋_GB2312" w:cs="仿宋_GB2312" w:eastAsia="仿宋_GB2312"/>
                <w:sz w:val="21"/>
                <w:b/>
              </w:rPr>
              <w:t>和方式</w:t>
            </w:r>
          </w:p>
          <w:p>
            <w:pPr>
              <w:pStyle w:val="null3"/>
              <w:ind w:firstLine="400"/>
            </w:pPr>
            <w:r>
              <w:rPr>
                <w:rFonts w:ascii="仿宋_GB2312" w:hAnsi="仿宋_GB2312" w:cs="仿宋_GB2312" w:eastAsia="仿宋_GB2312"/>
                <w:sz w:val="21"/>
              </w:rPr>
              <w:t>6.1验收标准</w:t>
            </w:r>
          </w:p>
          <w:p>
            <w:pPr>
              <w:pStyle w:val="null3"/>
              <w:ind w:firstLine="400"/>
            </w:pPr>
            <w:r>
              <w:rPr>
                <w:rFonts w:ascii="仿宋_GB2312" w:hAnsi="仿宋_GB2312" w:cs="仿宋_GB2312" w:eastAsia="仿宋_GB2312"/>
                <w:sz w:val="21"/>
              </w:rPr>
              <w:t>（1）符合国家、省、市及行业相关标准。</w:t>
            </w:r>
          </w:p>
          <w:p>
            <w:pPr>
              <w:pStyle w:val="null3"/>
              <w:ind w:firstLine="400"/>
            </w:pPr>
            <w:r>
              <w:rPr>
                <w:rFonts w:ascii="仿宋_GB2312" w:hAnsi="仿宋_GB2312" w:cs="仿宋_GB2312" w:eastAsia="仿宋_GB2312"/>
                <w:sz w:val="21"/>
              </w:rPr>
              <w:t>（2）符合采购文件中的相应技术要求。</w:t>
            </w:r>
          </w:p>
          <w:p>
            <w:pPr>
              <w:pStyle w:val="null3"/>
              <w:ind w:firstLine="400"/>
            </w:pPr>
            <w:r>
              <w:rPr>
                <w:rFonts w:ascii="仿宋_GB2312" w:hAnsi="仿宋_GB2312" w:cs="仿宋_GB2312" w:eastAsia="仿宋_GB2312"/>
                <w:sz w:val="21"/>
              </w:rPr>
              <w:t>（3）符合项目实施过程中，双方约定的标准和要求。</w:t>
            </w:r>
          </w:p>
          <w:p>
            <w:pPr>
              <w:pStyle w:val="null3"/>
              <w:ind w:firstLine="400"/>
            </w:pPr>
            <w:r>
              <w:rPr>
                <w:rFonts w:ascii="仿宋_GB2312" w:hAnsi="仿宋_GB2312" w:cs="仿宋_GB2312" w:eastAsia="仿宋_GB2312"/>
                <w:sz w:val="21"/>
              </w:rPr>
              <w:t>（4）验收标准包括但不限于：对各系统的各功能模块及性能指标做专业性的技术检验，并按照国产密码评估的要求开展工作，对各系统进行国产密码评估，满足上线要求，项目交付物齐全，提供密码应用测评报告等。</w:t>
            </w:r>
          </w:p>
          <w:p>
            <w:pPr>
              <w:pStyle w:val="null3"/>
              <w:ind w:firstLine="400"/>
            </w:pPr>
            <w:r>
              <w:rPr>
                <w:rFonts w:ascii="仿宋_GB2312" w:hAnsi="仿宋_GB2312" w:cs="仿宋_GB2312" w:eastAsia="仿宋_GB2312"/>
                <w:sz w:val="21"/>
              </w:rPr>
              <w:t>6.2验收方式</w:t>
            </w:r>
          </w:p>
          <w:p>
            <w:pPr>
              <w:pStyle w:val="null3"/>
              <w:ind w:firstLine="400"/>
            </w:pPr>
            <w:r>
              <w:rPr>
                <w:rFonts w:ascii="仿宋_GB2312" w:hAnsi="仿宋_GB2312" w:cs="仿宋_GB2312" w:eastAsia="仿宋_GB2312"/>
                <w:sz w:val="21"/>
              </w:rPr>
              <w:t>按照验收标准，由采购人组织专家进行验收，必要时，可邀请第三方机构进行验收。</w:t>
            </w:r>
          </w:p>
          <w:p>
            <w:pPr>
              <w:pStyle w:val="null3"/>
              <w:ind w:firstLine="402"/>
            </w:pPr>
            <w:r>
              <w:rPr>
                <w:rFonts w:ascii="仿宋_GB2312" w:hAnsi="仿宋_GB2312" w:cs="仿宋_GB2312" w:eastAsia="仿宋_GB2312"/>
                <w:sz w:val="21"/>
                <w:b/>
              </w:rPr>
              <w:t>7.其他要求</w:t>
            </w:r>
          </w:p>
          <w:p>
            <w:pPr>
              <w:pStyle w:val="null3"/>
              <w:ind w:firstLine="400"/>
            </w:pPr>
            <w:r>
              <w:rPr>
                <w:rFonts w:ascii="仿宋_GB2312" w:hAnsi="仿宋_GB2312" w:cs="仿宋_GB2312" w:eastAsia="仿宋_GB2312"/>
                <w:sz w:val="21"/>
              </w:rPr>
              <w:t>7.1归档要求</w:t>
            </w:r>
          </w:p>
          <w:p>
            <w:pPr>
              <w:pStyle w:val="null3"/>
              <w:ind w:firstLine="400"/>
            </w:pPr>
            <w:r>
              <w:rPr>
                <w:rFonts w:ascii="仿宋_GB2312" w:hAnsi="仿宋_GB2312" w:cs="仿宋_GB2312" w:eastAsia="仿宋_GB2312"/>
                <w:sz w:val="21"/>
              </w:rPr>
              <w:t>供应商按照采购人关于项目归档的相关要求，在项目完成验收后的20个工作日内协助采购人完成项目成果资料的归档工作。</w:t>
            </w:r>
          </w:p>
          <w:p>
            <w:pPr>
              <w:pStyle w:val="null3"/>
              <w:ind w:firstLine="400"/>
            </w:pPr>
            <w:r>
              <w:rPr>
                <w:rFonts w:ascii="仿宋_GB2312" w:hAnsi="仿宋_GB2312" w:cs="仿宋_GB2312" w:eastAsia="仿宋_GB2312"/>
                <w:sz w:val="21"/>
              </w:rPr>
              <w:t>7.2保密要求</w:t>
            </w:r>
          </w:p>
          <w:p>
            <w:pPr>
              <w:pStyle w:val="null3"/>
              <w:ind w:firstLine="400"/>
            </w:pPr>
            <w:r>
              <w:rPr>
                <w:rFonts w:ascii="仿宋_GB2312" w:hAnsi="仿宋_GB2312" w:cs="仿宋_GB2312" w:eastAsia="仿宋_GB2312"/>
                <w:sz w:val="21"/>
              </w:rPr>
              <w:t>（1）供应商须签订保密协议，对其因身份、职务、职业或技术关系而知悉的采购人商业秘密和党政机关保密信息应严格保守，保证不被披露或使用，包括意外或过失。</w:t>
            </w:r>
          </w:p>
          <w:p>
            <w:pPr>
              <w:pStyle w:val="null3"/>
              <w:ind w:firstLine="400"/>
            </w:pPr>
            <w:r>
              <w:rPr>
                <w:rFonts w:ascii="仿宋_GB2312" w:hAnsi="仿宋_GB2312" w:cs="仿宋_GB2312" w:eastAsia="仿宋_GB2312"/>
                <w:sz w:val="21"/>
              </w:rPr>
              <w:t>（2）供应商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供应商在从事政府项目时，不得擅自记录、复制、拍摄、摘抄、收藏在工作中涉及的保密信息，严禁将涉及政府项目的任何资料、数据透露或以其他方式提供给项目以外的其他方或供应商内部与该项目无关的任何人员。</w:t>
            </w:r>
          </w:p>
          <w:p>
            <w:pPr>
              <w:pStyle w:val="null3"/>
              <w:ind w:firstLine="400"/>
            </w:pPr>
            <w:r>
              <w:rPr>
                <w:rFonts w:ascii="仿宋_GB2312" w:hAnsi="仿宋_GB2312" w:cs="仿宋_GB2312" w:eastAsia="仿宋_GB2312"/>
                <w:sz w:val="21"/>
              </w:rPr>
              <w:t>（3）供应商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00"/>
            </w:pPr>
            <w:r>
              <w:rPr>
                <w:rFonts w:ascii="仿宋_GB2312" w:hAnsi="仿宋_GB2312" w:cs="仿宋_GB2312" w:eastAsia="仿宋_GB2312"/>
                <w:sz w:val="21"/>
              </w:rPr>
              <w:t>（4）严禁泄露在工作中接触到的政府机关科技研究、发明、装备器材及其技术资料和政府工作信息。</w:t>
            </w:r>
          </w:p>
          <w:p>
            <w:pPr>
              <w:pStyle w:val="null3"/>
              <w:ind w:firstLine="400"/>
            </w:pPr>
            <w:r>
              <w:rPr>
                <w:rFonts w:ascii="仿宋_GB2312" w:hAnsi="仿宋_GB2312" w:cs="仿宋_GB2312" w:eastAsia="仿宋_GB2312"/>
                <w:sz w:val="21"/>
              </w:rPr>
              <w:t>7.3监理要求</w:t>
            </w:r>
          </w:p>
          <w:p>
            <w:pPr>
              <w:pStyle w:val="null3"/>
              <w:ind w:firstLine="400"/>
            </w:pPr>
            <w:r>
              <w:rPr>
                <w:rFonts w:ascii="仿宋_GB2312" w:hAnsi="仿宋_GB2312" w:cs="仿宋_GB2312" w:eastAsia="仿宋_GB2312"/>
                <w:sz w:val="21"/>
              </w:rPr>
              <w:t>在本项目开展过程中接受采购人通过采购确定的咨询监理机构的监理。</w:t>
            </w:r>
          </w:p>
          <w:p>
            <w:pPr>
              <w:pStyle w:val="null3"/>
              <w:ind w:firstLine="400"/>
            </w:pPr>
            <w:r>
              <w:rPr>
                <w:rFonts w:ascii="仿宋_GB2312" w:hAnsi="仿宋_GB2312" w:cs="仿宋_GB2312" w:eastAsia="仿宋_GB2312"/>
                <w:sz w:val="21"/>
              </w:rPr>
              <w:t>7.4廉政要求</w:t>
            </w:r>
          </w:p>
          <w:p>
            <w:pPr>
              <w:pStyle w:val="null3"/>
              <w:ind w:firstLine="400"/>
            </w:pPr>
            <w:r>
              <w:rPr>
                <w:rFonts w:ascii="仿宋_GB2312" w:hAnsi="仿宋_GB2312" w:cs="仿宋_GB2312" w:eastAsia="仿宋_GB2312"/>
                <w:sz w:val="21"/>
              </w:rPr>
              <w:t>供应商与采购人签订廉政责任书。</w:t>
            </w:r>
          </w:p>
          <w:p>
            <w:pPr>
              <w:pStyle w:val="null3"/>
              <w:ind w:firstLine="400"/>
            </w:pPr>
            <w:r>
              <w:rPr>
                <w:rFonts w:ascii="仿宋_GB2312" w:hAnsi="仿宋_GB2312" w:cs="仿宋_GB2312" w:eastAsia="仿宋_GB2312"/>
                <w:sz w:val="21"/>
              </w:rPr>
              <w:t>7.5其它约定</w:t>
            </w:r>
          </w:p>
          <w:p>
            <w:pPr>
              <w:pStyle w:val="null3"/>
              <w:ind w:firstLine="400"/>
            </w:pPr>
            <w:r>
              <w:rPr>
                <w:rFonts w:ascii="仿宋_GB2312" w:hAnsi="仿宋_GB2312" w:cs="仿宋_GB2312" w:eastAsia="仿宋_GB2312"/>
                <w:sz w:val="21"/>
              </w:rPr>
              <w:t>其他未涉及内容参照本项目采购文件中技术服务合同文本相应条款的约定执行。</w:t>
            </w:r>
          </w:p>
          <w:p>
            <w:pPr>
              <w:pStyle w:val="null3"/>
              <w:ind w:firstLine="402"/>
            </w:pPr>
            <w:r>
              <w:rPr>
                <w:rFonts w:ascii="仿宋_GB2312" w:hAnsi="仿宋_GB2312" w:cs="仿宋_GB2312" w:eastAsia="仿宋_GB2312"/>
                <w:sz w:val="21"/>
                <w:b/>
              </w:rPr>
              <w:t>8、项目成果</w:t>
            </w:r>
          </w:p>
          <w:p>
            <w:pPr>
              <w:pStyle w:val="null3"/>
              <w:ind w:firstLine="400"/>
            </w:pPr>
            <w:r>
              <w:rPr>
                <w:rFonts w:ascii="仿宋_GB2312" w:hAnsi="仿宋_GB2312" w:cs="仿宋_GB2312" w:eastAsia="仿宋_GB2312"/>
                <w:sz w:val="21"/>
              </w:rPr>
              <w:t>8.1《整改建议》、《商用密码应用方案评估报告》、《商用密码应用安全性评估报告》（每个系统各3份），并协助委托方将评估结果报密码管理部门备案。</w:t>
            </w:r>
          </w:p>
          <w:p>
            <w:pPr>
              <w:pStyle w:val="null3"/>
              <w:ind w:firstLine="400"/>
            </w:pPr>
            <w:r>
              <w:rPr>
                <w:rFonts w:ascii="仿宋_GB2312" w:hAnsi="仿宋_GB2312" w:cs="仿宋_GB2312" w:eastAsia="仿宋_GB2312"/>
                <w:sz w:val="21"/>
              </w:rPr>
              <w:t>8.2在测评系统组织验收前10个工作日提供相应系统的测评成果资料。</w:t>
            </w:r>
          </w:p>
          <w:p>
            <w:pPr>
              <w:pStyle w:val="null3"/>
              <w:ind w:firstLine="402"/>
            </w:pPr>
            <w:r>
              <w:rPr>
                <w:rFonts w:ascii="仿宋_GB2312" w:hAnsi="仿宋_GB2312" w:cs="仿宋_GB2312" w:eastAsia="仿宋_GB2312"/>
                <w:sz w:val="21"/>
                <w:b/>
              </w:rPr>
              <w:t>9.组织管理要求</w:t>
            </w:r>
          </w:p>
          <w:p>
            <w:pPr>
              <w:pStyle w:val="null3"/>
              <w:ind w:firstLine="400"/>
            </w:pPr>
            <w:r>
              <w:rPr>
                <w:rFonts w:ascii="仿宋_GB2312" w:hAnsi="仿宋_GB2312" w:cs="仿宋_GB2312" w:eastAsia="仿宋_GB2312"/>
                <w:sz w:val="21"/>
              </w:rPr>
              <w:t>9.1服务人员</w:t>
            </w:r>
          </w:p>
          <w:p>
            <w:pPr>
              <w:pStyle w:val="null3"/>
              <w:ind w:firstLine="400"/>
            </w:pPr>
            <w:r>
              <w:rPr>
                <w:rFonts w:ascii="仿宋_GB2312" w:hAnsi="仿宋_GB2312" w:cs="仿宋_GB2312" w:eastAsia="仿宋_GB2312"/>
                <w:sz w:val="21"/>
              </w:rPr>
              <w:t>项目组人员需通过国家密码管理局商用密码检测中心或国家商用密码应用安全性评估人员测评能力考核小组组织的商用密码应用安全性评估人员测评能力考核。</w:t>
            </w:r>
          </w:p>
          <w:p>
            <w:pPr>
              <w:pStyle w:val="null3"/>
              <w:ind w:firstLine="400"/>
            </w:pPr>
            <w:r>
              <w:rPr>
                <w:rFonts w:ascii="仿宋_GB2312" w:hAnsi="仿宋_GB2312" w:cs="仿宋_GB2312" w:eastAsia="仿宋_GB2312"/>
                <w:sz w:val="21"/>
              </w:rPr>
              <w:t>9.2工期要求</w:t>
            </w:r>
          </w:p>
          <w:p>
            <w:pPr>
              <w:pStyle w:val="null3"/>
              <w:ind w:firstLine="400"/>
            </w:pPr>
            <w:r>
              <w:rPr>
                <w:rFonts w:ascii="仿宋_GB2312" w:hAnsi="仿宋_GB2312" w:cs="仿宋_GB2312" w:eastAsia="仿宋_GB2312"/>
                <w:sz w:val="21"/>
              </w:rPr>
              <w:t>按照客户要求完成测评工作。</w:t>
            </w:r>
          </w:p>
          <w:p>
            <w:pPr>
              <w:pStyle w:val="null3"/>
              <w:ind w:firstLine="400"/>
            </w:pPr>
            <w:r>
              <w:rPr>
                <w:rFonts w:ascii="仿宋_GB2312" w:hAnsi="仿宋_GB2312" w:cs="仿宋_GB2312" w:eastAsia="仿宋_GB2312"/>
                <w:sz w:val="21"/>
              </w:rPr>
              <w:t>9.3验收要求</w:t>
            </w:r>
          </w:p>
          <w:p>
            <w:pPr>
              <w:pStyle w:val="null3"/>
              <w:jc w:val="both"/>
            </w:pPr>
            <w:r>
              <w:rPr>
                <w:rFonts w:ascii="仿宋_GB2312" w:hAnsi="仿宋_GB2312" w:cs="仿宋_GB2312" w:eastAsia="仿宋_GB2312"/>
                <w:sz w:val="21"/>
              </w:rPr>
              <w:t>最终输出被评估系统《XX系统整改建议》、《商用密码应用方案评估报告》、《商用密码应用安全性评估报告》，并经委托方审核通过。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自服务合同签订之日起至项目通过验收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 （1）符合国家、省、市及行业相关标准。 （2）符合采购文件中的相应技术要求。 （3）符合项目实施过程中，双方约定的标准和要求。 （4）验收标准包括但不限于：对各系统的各功能模块及性能指标做专业性的技术检验，并按照国产密码评估的要求开展工作，对各系统进行国产密码评估，满足上线要求，项目交付物齐全，提供密码应用测评报告等。 2、验收方式 按照验收标准，由采购人组织专家进行验收，必要时，可邀请第三方机构进行验收。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合同签订后完成六个系统（平台）中任意一个系统（平台）的密码测评并出具测评报告后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完成其余五个系统（平台）的密码测评并出具测评报告后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①违约责任：（一）按《民法典》中的相关条款执行。（二）未按合同要求提供服务或服务质量不能满足本次招标要求，甲方会同监督机构、采购代理机构有权终止合同和对乙方违约行为进行追究，同时按政府采购法的有关规定进行相应的处罚。②解决争议的方法：本合同在履行过程中发生的争议，由甲、乙双方当事人协商解决，协商不成的按下列第（二）种方式解决：（一）提交当地仲裁委员会仲裁；（二）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 《投标函》完成承诺，同时提供以下资料并进行电子签章： （1）提供合格有效的法人或者其他组织的营业执照等证明文件，自然人的身份证明；供应商是法人或其他组织的应提供营业执照等证明文件，供应商是自然人的应提供有效的自然人身份证明； （2）财务状况证明：提供2023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 （3）税收缴纳证明：提供磋商截止日前一年内已缴纳的至少一个月的纳税证明或完税证明，依法免税的单位应提供相关证明材料； （4）社会保障资金缴纳证明：提供磋商截止日前一年内已缴存的至少一个月的社会保障资金缴存单据或社保机构开具的社会保险参保缴费情况证明，依法不需要缴纳社会保障资金的单位应提供相关证明材料；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法定代表人授权书（附法定代表人、被授权人身份证复印件）、被授权人身份证及磋商截止日前一年内已缴存的至少一个月的社会保险参保缴费证明;法定代表人直接参加磋商，须提供法定代表人身份证明）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单位资质</w:t>
            </w:r>
          </w:p>
        </w:tc>
        <w:tc>
          <w:tcPr>
            <w:tcW w:type="dxa" w:w="3322"/>
          </w:tcPr>
          <w:p>
            <w:pPr>
              <w:pStyle w:val="null3"/>
            </w:pPr>
            <w:r>
              <w:rPr>
                <w:rFonts w:ascii="仿宋_GB2312" w:hAnsi="仿宋_GB2312" w:cs="仿宋_GB2312" w:eastAsia="仿宋_GB2312"/>
              </w:rPr>
              <w:t>供应商应是具备商用密码检测机构资质证书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磋商保证金缴纳凭证或担保机构出具的保函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中小企业声明函 商务应答表 业绩文件.docx 报价表 磋商方案说明书.docx 资格证明文件.docx 供应商承诺书.docx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中小企业声明函 商务应答表 业绩文件.docx 报价表 磋商方案说明书.docx 资格证明文件.docx 供应商承诺书.docx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中小企业声明函 商务应答表 业绩文件.docx 报价表 磋商方案说明书.docx 资格证明文件.docx 供应商承诺书.docx 响应文件封面 残疾人福利性单位声明函 标的清单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商务应答表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商务应答表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企业管理体系认证</w:t>
            </w:r>
          </w:p>
        </w:tc>
        <w:tc>
          <w:tcPr>
            <w:tcW w:type="dxa" w:w="2492"/>
          </w:tcPr>
          <w:p>
            <w:pPr>
              <w:pStyle w:val="null3"/>
            </w:pPr>
            <w:r>
              <w:rPr>
                <w:rFonts w:ascii="仿宋_GB2312" w:hAnsi="仿宋_GB2312" w:cs="仿宋_GB2312" w:eastAsia="仿宋_GB2312"/>
              </w:rPr>
              <w:t>根据供应商企业管理体系认证情况进行评分: 1、具备ISO9001质量管理体系认证证书，得2分; 2、具备ISO27001信息安全管理体系认证证书，得2分; 3、具备ISO20000信息技术服务管理体系认证证书，得2分； 注:以上体系认证证书须提供有效证书复印件及在全国认证认可信息公共服务平台上对该证书的查询结果截图为证明材料并加盖供应商公章，如供应商为分支机构，应提供总公司出具给分支机构的授权书，总公司取得的相关证书及证明材料亦可作为评分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商用密码应用与安全性评估服务资质要求</w:t>
            </w:r>
          </w:p>
        </w:tc>
        <w:tc>
          <w:tcPr>
            <w:tcW w:type="dxa" w:w="2492"/>
          </w:tcPr>
          <w:p>
            <w:pPr>
              <w:pStyle w:val="null3"/>
            </w:pPr>
            <w:r>
              <w:rPr>
                <w:rFonts w:ascii="仿宋_GB2312" w:hAnsi="仿宋_GB2312" w:cs="仿宋_GB2312" w:eastAsia="仿宋_GB2312"/>
              </w:rPr>
              <w:t>根据供应商拟委托为本项目提供商用密码应用安全性评估服务的第三方测评机构资质情况进行评分： 1.具备中国国家认证认可监督管理机构颁发的检验检测机构资质认定证书，得2分； 2.具备中国合格评定国家认可委员会（CNAS）颁发的检验机构认可证书，得2分；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拟投入本项目的项目经理情况</w:t>
            </w:r>
          </w:p>
        </w:tc>
        <w:tc>
          <w:tcPr>
            <w:tcW w:type="dxa" w:w="2492"/>
          </w:tcPr>
          <w:p>
            <w:pPr>
              <w:pStyle w:val="null3"/>
            </w:pPr>
            <w:r>
              <w:rPr>
                <w:rFonts w:ascii="仿宋_GB2312" w:hAnsi="仿宋_GB2312" w:cs="仿宋_GB2312" w:eastAsia="仿宋_GB2312"/>
              </w:rPr>
              <w:t>派驻本项目的项目经理具备以下资质： 1.通过国家密码管理局商用密码检测中心的商用密码应用安全性评估人员测评能力考核成绩80分或以上，得3分，没有不得分； 2.具有PMP或信息系统项目管理师资格认证，得3分，没有不得分； 注：需提供有效证书复印件、与本单位签订的劳动合同及3个月以上的社保缴纳证明，否则不得分。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项目组人员资质（项目经理除外）</w:t>
            </w:r>
          </w:p>
        </w:tc>
        <w:tc>
          <w:tcPr>
            <w:tcW w:type="dxa" w:w="2492"/>
          </w:tcPr>
          <w:p>
            <w:pPr>
              <w:pStyle w:val="null3"/>
            </w:pPr>
            <w:r>
              <w:rPr>
                <w:rFonts w:ascii="仿宋_GB2312" w:hAnsi="仿宋_GB2312" w:cs="仿宋_GB2312" w:eastAsia="仿宋_GB2312"/>
              </w:rPr>
              <w:t>为本项目配备的项目实施团队成员具有商用密码应用安全性评估从业人员考试合格证明及注册信息安全专业人员(CISP) 资质证书，每人计2分，最高10分； 注：需提供有效证书复印件、与本单位签订的劳动合同及3个月以上的社保缴纳证明，否则不得分。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同类型业绩</w:t>
            </w:r>
          </w:p>
        </w:tc>
        <w:tc>
          <w:tcPr>
            <w:tcW w:type="dxa" w:w="2492"/>
          </w:tcPr>
          <w:p>
            <w:pPr>
              <w:pStyle w:val="null3"/>
            </w:pPr>
            <w:r>
              <w:rPr>
                <w:rFonts w:ascii="仿宋_GB2312" w:hAnsi="仿宋_GB2312" w:cs="仿宋_GB2312" w:eastAsia="仿宋_GB2312"/>
              </w:rPr>
              <w:t>供应商提供近3年（2022年5月1日至今）承接的同类型（包含密码应用方案编制、密码应用方案评估、商用密码应用安全性评估服务）项目实施经验，每提供1个项目业绩得1分，最高得8分。 注：（1）需提供合同（合同内容页、金额页、签字盖章页）并加盖供应商公章为依据，未提供不得分。（2）如供应商为分支机构，应提供总公司出具给分支机构的授权书，总公司取得的相关证书及证明材料（含项目业绩）亦可作为评分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业绩文件.docx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根据各供应商的服务方案描述进行综合评审。内容包括①需求沟通确认②基础材料搜集整理和现场沟通采集③密码应用方案评估④系统评估⑤报告编制。 方案各部分内容全面详细、阐述条理清晰详尽、符合本项目采购需求得10分；以上分项每缺少一项内容扣2分；有某一项不完整或不符合实际要求或不满足实施要求或套用其他项目内容的每项扣（0-2）</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测评方案</w:t>
            </w:r>
          </w:p>
        </w:tc>
        <w:tc>
          <w:tcPr>
            <w:tcW w:type="dxa" w:w="2492"/>
          </w:tcPr>
          <w:p>
            <w:pPr>
              <w:pStyle w:val="null3"/>
            </w:pPr>
            <w:r>
              <w:rPr>
                <w:rFonts w:ascii="仿宋_GB2312" w:hAnsi="仿宋_GB2312" w:cs="仿宋_GB2312" w:eastAsia="仿宋_GB2312"/>
              </w:rPr>
              <w:t>根据各供应商的测评方案描述进行综合评审。内容包括 ①物理和环境安全②网络和通信安全③设备和计算安全④应用和数据安全⑤管理制度⑥人员管理⑦建设运行⑧应急处置。 方案各部分内容全面详细、阐述条理清晰详尽、符合本项目采购需求得16分；以上分项每缺少一项内容扣2分；有某一项不完整或不符合实际要求或不满足实施要求或套用其他项目内容的每项扣（0-2) 。</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安全管理及实施保障方案</w:t>
            </w:r>
          </w:p>
        </w:tc>
        <w:tc>
          <w:tcPr>
            <w:tcW w:type="dxa" w:w="2492"/>
          </w:tcPr>
          <w:p>
            <w:pPr>
              <w:pStyle w:val="null3"/>
            </w:pPr>
            <w:r>
              <w:rPr>
                <w:rFonts w:ascii="仿宋_GB2312" w:hAnsi="仿宋_GB2312" w:cs="仿宋_GB2312" w:eastAsia="仿宋_GB2312"/>
              </w:rPr>
              <w:t>根据各供应商对安全管理及实施保障方案的描述进行综合评审，内容包括①安全管理制度②风险评估及应对③密码安全应急处置④ 实施计划⑤组织保障体系。 方案各部分内容全面详细、阐述条理清晰详尽、符合本项目采购需求得5分；以上分项每缺少一项内容扣1分；有某一项不完整或不符合实际要求或不满足实施要求或套用其他项目内容的每项扣（0-1）。</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提供针对本项目的保密方案，方案至少包含:①相应的保密措施及保密管理制度等:②测试过程的保密承诺;③保密信息范围及保密主体等内容。方案各部分内容全面详细、阐述条理清晰详尽、符合本项目采购需求得6分;以上分项每缺少一项内容扣2分;有某一项不完整或不符合实际要求或不满足实施要求或套用其他项目内容的每项扣(0-2)。</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供应商提供完善的售后服务能力，包含：①售后服务机构（提供证明 材料、联系方式等）、②售后服务条款、③售后服务措施及承诺。 方案各部分内容全面详细、阐述条理清晰详尽、符合本项目采购需求得9分；以上分项每缺少一项内容扣3分；有某一项不完整或不符合实际要求或不满足实施要求或套用其他 项目内容的每项扣（0-3）。</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商用密码应用与安全性评估服务检测工具要求</w:t>
            </w:r>
          </w:p>
        </w:tc>
        <w:tc>
          <w:tcPr>
            <w:tcW w:type="dxa" w:w="2492"/>
          </w:tcPr>
          <w:p>
            <w:pPr>
              <w:pStyle w:val="null3"/>
            </w:pPr>
            <w:r>
              <w:rPr>
                <w:rFonts w:ascii="仿宋_GB2312" w:hAnsi="仿宋_GB2312" w:cs="仿宋_GB2312" w:eastAsia="仿宋_GB2312"/>
              </w:rPr>
              <w:t>1.供应商自有SM2/SM3/SM4检测工具，每有一个对应工具得2分，此项最多得6分； 2.供应商自有其他密码相关专用技术检测工具每一个得2分，此项最多得4分； 注：1.提供采购合同或发票复印件或中国国家版权局颁发的计算机软件著作权登记证书。 2.提供网络安全专用工具加盖公章的采购合同复印件，如自研需提供中国版权保护中心著作权登记查询结果截图和相关软件著作权登记证书复印件，并加盖供应商公章，且需提供针对本项目的原厂商服务承诺函或授权函（格式自拟）并加盖供应商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 2、有效最低报价为基准价得10分。 3、按（有效最低报价/有效投标报价）×10的公式计算其得分。 4、投标报价不完整的，不进入评标基准价的计算，本项得0分。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详见附件：业绩文件.docx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