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版本号：ZFXH-2025-4-00320250520001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“陕晋黄河1号旅游公路”实施方案编制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ZFXH-2025-4-003</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陕西中峰兴华工程项目管理有限公司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陕西中峰兴华工程项目管理有限公司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“陕晋黄河1号旅游公路”实施方案编制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ZFXH-2025-4-003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“陕晋黄河1号旅游公路”实施方案编制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优势互补、协同推动、互利共赢”的原则，从陕晋两省协同推进交旅深度融合、共同讲好黄河故事出发，依托两省沿黄公路以及区域综合交通网络，构建“快进慢游深体验”全域旅游交通网络，完成“陕晋黄河1号旅游公路”实施方案编制，更好地服务黄河流域生态保护和高质量发展。详见“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2、履约能力：供应商具备履行合同所必需的设备和专业技术能力（提供承诺书）。</w:t>
      </w:r>
    </w:p>
    <w:p>
      <w:pPr>
        <w:pStyle w:val="null3"/>
      </w:pPr>
      <w:r>
        <w:rPr>
          <w:rFonts w:ascii="仿宋_GB2312" w:hAnsi="仿宋_GB2312" w:cs="仿宋_GB2312" w:eastAsia="仿宋_GB2312"/>
        </w:rPr>
        <w:t>3、授权书：法定代表人（单位负责人）参加磋商的，提供本人身份证复印件；法定代表人（单位负责人）授权他人参加磋商的，提供法定代表人（单位负责人）委托授权书提供示被授权代表的身份证复印件；</w:t>
      </w:r>
    </w:p>
    <w:p>
      <w:pPr>
        <w:pStyle w:val="null3"/>
      </w:pPr>
      <w:r>
        <w:rPr>
          <w:rFonts w:ascii="仿宋_GB2312" w:hAnsi="仿宋_GB2312" w:cs="仿宋_GB2312" w:eastAsia="仿宋_GB2312"/>
        </w:rPr>
        <w:t>4、资质要求：供应商须具备有效的工程设计公路行业（公路、交通工程）专业甲级资质证书。上述证书均须在有效期内。</w:t>
      </w:r>
    </w:p>
    <w:p>
      <w:pPr>
        <w:pStyle w:val="null3"/>
      </w:pPr>
      <w:r>
        <w:rPr>
          <w:rFonts w:ascii="仿宋_GB2312" w:hAnsi="仿宋_GB2312" w:cs="仿宋_GB2312" w:eastAsia="仿宋_GB2312"/>
        </w:rPr>
        <w:t>5、信誉要求：供应商不得在“信用中国”被列入失信被执行人、政府采购严重违法失信行为记录名单、重大税收违法失信主体。</w:t>
      </w:r>
    </w:p>
    <w:p>
      <w:pPr>
        <w:pStyle w:val="null3"/>
      </w:pPr>
      <w:r>
        <w:rPr>
          <w:rFonts w:ascii="仿宋_GB2312" w:hAnsi="仿宋_GB2312" w:cs="仿宋_GB2312" w:eastAsia="仿宋_GB2312"/>
        </w:rPr>
        <w:t>6、信誉要求：供应商不得在“中国政府采购网”被列入政府采购严重违法失信行为信息记录。</w:t>
      </w:r>
    </w:p>
    <w:p>
      <w:pPr>
        <w:pStyle w:val="null3"/>
      </w:pPr>
      <w:r>
        <w:rPr>
          <w:rFonts w:ascii="仿宋_GB2312" w:hAnsi="仿宋_GB2312" w:cs="仿宋_GB2312" w:eastAsia="仿宋_GB2312"/>
        </w:rPr>
        <w:t>7、信誉要求：单位负责人为同一人或者存在控股、管理关系的不同单位，不得在同一标段中同时提出投标申请。</w:t>
      </w:r>
    </w:p>
    <w:p>
      <w:pPr>
        <w:pStyle w:val="null3"/>
      </w:pPr>
      <w:r>
        <w:rPr>
          <w:rFonts w:ascii="仿宋_GB2312" w:hAnsi="仿宋_GB2312" w:cs="仿宋_GB2312" w:eastAsia="仿宋_GB2312"/>
        </w:rPr>
        <w:t>8、联合体：本项目不接受联合体投标。供应商需提供承诺书。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陕西中峰兴华工程项目管理有限公司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陕西省西安市浐灞生态区金桥三路418号前海人寿金融中心1号楼1202室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15686092000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说明：1.乙方在签订合同之前，向甲方缴纳中标价格5%的履约保证金。2.履约保证金的有效期为乙方承诺的服务期限。 3.履约保证金作为违约金的一部分及用于补偿甲方因乙方不能履行合同义务而蒙受的损失。 4.合同签订前，乙方须向甲方缴纳合同总金额5%的履约保证金，履约保证金待乙方履行完毕全部合同义务，并经甲方履约验收合格，无任何纠纷后无息退还。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代理服务费收费标准：代理服务费按照代理项目金额的1%收取，即新增普通省道路面技术状况检测项目招标代理费： 采购包1：肆仟玖佰元整（¥4900.00元）；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陕西中峰兴华工程项目管理有限公司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陕西中峰兴华工程项目管理有限公司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陕西中峰兴华工程项目管理有限公司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联系人：许智</w:t>
      </w:r>
    </w:p>
    <w:p>
      <w:pPr>
        <w:pStyle w:val="null3"/>
      </w:pPr>
      <w:r>
        <w:rPr>
          <w:rFonts w:ascii="仿宋_GB2312" w:hAnsi="仿宋_GB2312" w:cs="仿宋_GB2312" w:eastAsia="仿宋_GB2312"/>
        </w:rPr>
        <w:t>联系电话：15686092000</w:t>
      </w:r>
    </w:p>
    <w:p>
      <w:pPr>
        <w:pStyle w:val="null3"/>
      </w:pPr>
      <w:r>
        <w:rPr>
          <w:rFonts w:ascii="仿宋_GB2312" w:hAnsi="仿宋_GB2312" w:cs="仿宋_GB2312" w:eastAsia="仿宋_GB2312"/>
        </w:rPr>
        <w:t>地址：陕西省西安市浐灞生态区金桥三路418号前海人寿金融中心1号楼1202室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优势互补、协同推动、互利共赢”的原则，从陕晋两省协同推进交旅深度融合、共同讲好黄河故事出发，依托两省沿黄公路以及区域综合交通网络，构建“快进慢游深体验”全域旅游交通网络，完成“陕晋黄河1号旅游公路”实施方案编制，更好地服务黄河流域生态保护和高质量发展。详见“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“陕晋黄河1号旅游公路”实施方案编制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标的名称：“陕晋黄河1号旅游公路”实施方案编制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“陕晋黄河</w:t>
            </w:r>
            <w:r>
              <w:rPr>
                <w:rFonts w:ascii="仿宋_GB2312" w:hAnsi="仿宋_GB2312" w:cs="仿宋_GB2312" w:eastAsia="仿宋_GB2312"/>
                <w:sz w:val="21"/>
              </w:rPr>
              <w:t>1</w:t>
            </w:r>
            <w:r>
              <w:rPr>
                <w:rFonts w:ascii="仿宋_GB2312" w:hAnsi="仿宋_GB2312" w:cs="仿宋_GB2312" w:eastAsia="仿宋_GB2312"/>
                <w:sz w:val="21"/>
              </w:rPr>
              <w:t>号旅游公路”实施方案》技术要求：全面贯彻落实国家黄河流域生态保护与高质量发展重大战略，严格遵循《交通强国建设纲要》《国家综合立体交通网规划纲要》及其实施方案，紧密对接《陕西省综合立体交通网规划纲要》总体布局，确保项目规划与国家公路网规划线位方案总体布局相协调。实施方案应注重科学合理性与可操作性的有机统一，切实发挥交通基础设施对黄河国家文化公园建设的支撑保障作用，实现生态效益、社会效益与文化价值的有机统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按照</w:t>
            </w:r>
            <w:r>
              <w:rPr>
                <w:rFonts w:ascii="仿宋_GB2312" w:hAnsi="仿宋_GB2312" w:cs="仿宋_GB2312" w:eastAsia="仿宋_GB2312"/>
                <w:sz w:val="21"/>
              </w:rPr>
              <w:t>“优势互补、协同推动、互利共赢”的原则，从陕晋两省协同推进交旅深度融合、共同讲好黄河故事出发，依托两省沿黄公路以及区域综合交通网络，构建“快进慢游深体验”全域旅游交通网络，完成“陕晋黄河</w:t>
            </w:r>
            <w:r>
              <w:rPr>
                <w:rFonts w:ascii="仿宋_GB2312" w:hAnsi="仿宋_GB2312" w:cs="仿宋_GB2312" w:eastAsia="仿宋_GB2312"/>
                <w:sz w:val="21"/>
              </w:rPr>
              <w:t>1</w:t>
            </w:r>
            <w:r>
              <w:rPr>
                <w:rFonts w:ascii="仿宋_GB2312" w:hAnsi="仿宋_GB2312" w:cs="仿宋_GB2312" w:eastAsia="仿宋_GB2312"/>
                <w:sz w:val="21"/>
              </w:rPr>
              <w:t>号旅游公路”实施方案编制，更好地服务黄河流域生态保护和高质量发展。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保密：根据中华人民共和国民法典的有关规定，本项目的工作成果甲方拥有，未经甲方同意乙方不得给与本项目无关的第三方使用详见服务要求。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自合同签订之日起1年。3个月内完成全部陕晋黄河1号旅游公路”实施方案编制并提交甲方。完成合同约定全部内容可提交履约验收。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乙方完成全部合同内容，并提交相应成果资料并经甲方确认合格并开具增值税普通发票后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解决争议的方法：在履行本合同的过程中发生争议，双方当事人经友好协商仍无法达成一致的，任何一方有权向甲方所在地具有管辖权的法院起诉。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质量保证： （1）保证技术指标先进、质量性能可靠，全面满足采购要求。 （2）符合国家有关规范要求。 （3）供应商必须满足所有的参数要求，由此产生的风险由供应商自行承担。 各标包承担单位需按时限要求完成“陕晋黄河1号旅游公路”实施方案编制。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并按照资格证明文件中的格式提供承诺书。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法定代表人（单位负责人）参加磋商的，提供本人身份证复印件；法定代表人（单位负责人）授权他人参加磋商的，提供法定代表人（单位负责人）委托授权书提供示被授权代表的身份证复印件；</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供应商须具备有效的工程设计公路行业（公路、交通工程）专业甲级资质证书。上述证书均须在有效期内。</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供应商不得在“信用中国”被列入失信被执行人、政府采购严重违法失信行为记录名单、重大税收违法失信主体。</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供应商不得在“中国政府采购网”被列入政府采购严重违法失信行为信息记录。</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本项目不接受联合体投标。供应商需提供承诺书。</w:t>
            </w:r>
          </w:p>
        </w:tc>
        <w:tc>
          <w:tcPr>
            <w:tcW w:type="dxa" w:w="1661"/>
          </w:tcPr>
          <w:p>
            <w:pPr>
              <w:pStyle w:val="null3"/>
            </w:pPr>
            <w:r>
              <w:rPr>
                <w:rFonts w:ascii="仿宋_GB2312" w:hAnsi="仿宋_GB2312" w:cs="仿宋_GB2312" w:eastAsia="仿宋_GB2312"/>
              </w:rPr>
              <w:t>承诺书.docx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供应商应按竞争性磋商文件要求对招标文件进行电子签章。</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1.方案内容全面具体、针对性强、逻辑严谨、部署科学10分； 2.方案内容较为全面、针对性较强、部署较为科学得8分； 3.方案内容一般、有针对性、可操作性可行性一般得5分； 4.方案内容笼统、欠缺针对性得2分； 5.未提供相应方案不得分。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1.有完整的工作计划和进度保证措施，进度措施具体可行，针对性强，得10分； 2.有较完整的工作计划和进度保证措施，进度保证措施比较可行，针对性较强，得8分； 3.有工作计划，进度保证措施不够全面，可行性一般，针对性不强，得5分； 4.工作计划及进度保证措施笼统简单，针对性差，得2分；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1.有完整的质量保证体系和质量安全保证措施，具体可行，针对性强，能保证项目高质量完成的，得10分； 2.有较完整的质量保证体系和质量安全保证措施，较可行，针对性较强，能保证项目较高质量完成的，得8分； 3.质量保证体系和质量安全保证措施一般，可行度一般，针对性一般，基本能保证项目完成的，得5分； 4.工作计划和质量、进度保证措施安排不具体，针对性较差，可行性一般，得2分； 5.未提供此项得0分。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项目认知情况</w:t>
            </w:r>
          </w:p>
        </w:tc>
        <w:tc>
          <w:tcPr>
            <w:tcW w:type="dxa" w:w="2492"/>
          </w:tcPr>
          <w:p>
            <w:pPr>
              <w:pStyle w:val="null3"/>
            </w:pPr>
            <w:r>
              <w:rPr>
                <w:rFonts w:ascii="仿宋_GB2312" w:hAnsi="仿宋_GB2312" w:cs="仿宋_GB2312" w:eastAsia="仿宋_GB2312"/>
              </w:rPr>
              <w:t>1.对本项目和采购需求的理解和认知全面、深入、清晰，得5分； 2.对本项目和采购需求的理解和认知一般，得3分； 3.对本项目和采购需求的理解和认知片面，得 1分； 4.未提供此项得0分。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1.后续服务保障全面、应对措施完整可行，得5分； 2.后续服务保障一般，应对措施基本可行，得3分； 3.后续服务保障有欠缺，应对措施未全面考虑，得1分 4.未提供此项得0分。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1.项目组织管理机构设置及人员分工安排合理、职责划分明确，得5分； 2.项目组织管理机构设置及人员分工安排较合理、职责划分较明确，得3分； 3.项目组织管理机构设置及人员分工安排不太合理、职责划分不明确，得1分；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1、具有公路相关专业（公路工程、桥梁工程、交通工程、交通规划等）中级及以上职称，得3分，具有高级及以上职称，增加2分； 2、自2020年1月以来，承担过公路交通行业发展规划、工程设计项目业绩得2分，每增加一项得1分，最高得7分，没有相关业绩得0分； 3、公路交通行业从业年限3-6年得1分，6-10年得2分，10年以上得3分。 备注：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团队人员（不含项目负责人）</w:t>
            </w:r>
          </w:p>
        </w:tc>
        <w:tc>
          <w:tcPr>
            <w:tcW w:type="dxa" w:w="2492"/>
          </w:tcPr>
          <w:p>
            <w:pPr>
              <w:pStyle w:val="null3"/>
            </w:pPr>
            <w:r>
              <w:rPr>
                <w:rFonts w:ascii="仿宋_GB2312" w:hAnsi="仿宋_GB2312" w:cs="仿宋_GB2312" w:eastAsia="仿宋_GB2312"/>
              </w:rPr>
              <w:t>1、团队人员不少于4名，得3分，每增加1名的0.5分，最多加2分； 2、公路相关专业（公路工程、桥梁工程、岩土工程、交通工程、交通规划等）中级工程师职称，0.5分/人，高级及以上职称，1分/人，最多得5分； 备注：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1.投标人近3年（从2022年1月1日至投标文件递交截止日）完成类似业绩(公路交通发展规划、工程设计等)5个，得10分；每增加1个加1分，最多加5分。 以上业绩均须提供有效证明文件，包括但不限于中标通知书、合同复印件或履约证明等相关证明文件复印件。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拟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