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pPr>
        <w:pStyle w:val="2"/>
        <w:shd w:val="clear"/>
        <w:spacing w:beforeLines="0" w:line="500" w:lineRule="exact"/>
        <w:rPr>
          <w:rFonts w:hint="eastAsia" w:ascii="宋体" w:hAnsi="宋体" w:eastAsia="宋体" w:cs="宋体"/>
          <w:b/>
          <w:bCs/>
          <w:color w:val="auto"/>
          <w:sz w:val="28"/>
          <w:szCs w:val="28"/>
          <w:highlight w:val="none"/>
        </w:rPr>
      </w:pPr>
    </w:p>
    <w:p>
      <w:pPr>
        <w:shd w:val="clear"/>
        <w:rPr>
          <w:rFonts w:ascii="仿宋" w:hAnsi="仿宋" w:eastAsia="仿宋" w:cs="仿宋"/>
          <w:b/>
          <w:bCs/>
          <w:color w:val="auto"/>
          <w:sz w:val="30"/>
          <w:szCs w:val="30"/>
          <w:highlight w:val="none"/>
          <w:lang w:eastAsia="zh-CN"/>
        </w:rPr>
      </w:pPr>
    </w:p>
    <w:p>
      <w:pPr>
        <w:pStyle w:val="2"/>
        <w:shd w:val="clear"/>
        <w:spacing w:beforeLines="0" w:line="500" w:lineRule="exact"/>
        <w:rPr>
          <w:rFonts w:hint="eastAsia" w:ascii="宋体" w:hAnsi="宋体" w:eastAsia="宋体" w:cs="宋体"/>
          <w:b/>
          <w:bCs/>
          <w:color w:val="auto"/>
          <w:sz w:val="28"/>
          <w:szCs w:val="28"/>
          <w:highlight w:val="none"/>
          <w:lang w:eastAsia="zh-CN"/>
        </w:rPr>
      </w:pPr>
    </w:p>
    <w:p>
      <w:pPr>
        <w:pStyle w:val="2"/>
        <w:shd w:val="clear"/>
        <w:spacing w:beforeLines="0" w:line="500" w:lineRule="exact"/>
        <w:rPr>
          <w:rFonts w:hint="eastAsia" w:ascii="宋体" w:hAnsi="宋体" w:eastAsia="宋体" w:cs="宋体"/>
          <w:b/>
          <w:bCs/>
          <w:color w:val="auto"/>
          <w:sz w:val="28"/>
          <w:szCs w:val="28"/>
          <w:highlight w:val="none"/>
          <w:lang w:eastAsia="zh-CN"/>
        </w:rPr>
      </w:pPr>
    </w:p>
    <w:p>
      <w:pPr>
        <w:pStyle w:val="2"/>
        <w:shd w:val="clear"/>
        <w:ind w:left="0" w:leftChars="0" w:hanging="7" w:firstLineChars="0"/>
        <w:jc w:val="center"/>
        <w:rPr>
          <w:rFonts w:ascii="仿宋" w:hAnsi="仿宋" w:eastAsia="仿宋" w:cs="仿宋"/>
          <w:color w:val="auto"/>
          <w:sz w:val="20"/>
          <w:szCs w:val="18"/>
          <w:highlight w:val="none"/>
          <w:lang w:eastAsia="zh-CN"/>
        </w:rPr>
      </w:pPr>
      <w:r>
        <w:rPr>
          <w:rFonts w:hint="eastAsia" w:ascii="宋体" w:hAnsi="宋体" w:eastAsia="宋体" w:cs="宋体"/>
          <w:b/>
          <w:bCs/>
          <w:color w:val="auto"/>
          <w:kern w:val="0"/>
          <w:sz w:val="40"/>
          <w:szCs w:val="40"/>
          <w:highlight w:val="none"/>
          <w:u w:val="none"/>
          <w:lang w:eastAsia="zh-CN"/>
        </w:rPr>
        <w:t>陕西省省级公路网线位规划研究</w:t>
      </w:r>
      <w:r>
        <w:rPr>
          <w:rFonts w:hint="eastAsia" w:ascii="宋体" w:hAnsi="宋体" w:eastAsia="宋体" w:cs="宋体"/>
          <w:b/>
          <w:bCs/>
          <w:color w:val="auto"/>
          <w:kern w:val="0"/>
          <w:sz w:val="40"/>
          <w:szCs w:val="40"/>
          <w:highlight w:val="none"/>
          <w:u w:val="none"/>
          <w:lang w:eastAsia="en-US"/>
        </w:rPr>
        <w:t>服务合同</w:t>
      </w:r>
    </w:p>
    <w:p>
      <w:pPr>
        <w:pStyle w:val="2"/>
        <w:shd w:val="clear"/>
        <w:spacing w:beforeLines="0" w:line="500" w:lineRule="exact"/>
        <w:rPr>
          <w:rFonts w:hint="eastAsia" w:ascii="宋体" w:hAnsi="宋体" w:eastAsia="宋体" w:cs="宋体"/>
          <w:b/>
          <w:bCs/>
          <w:color w:val="auto"/>
          <w:sz w:val="28"/>
          <w:szCs w:val="28"/>
          <w:highlight w:val="none"/>
          <w:lang w:eastAsia="zh-CN"/>
        </w:rPr>
      </w:pPr>
    </w:p>
    <w:p>
      <w:pPr>
        <w:pStyle w:val="2"/>
        <w:shd w:val="clear"/>
        <w:spacing w:beforeLines="0" w:line="500" w:lineRule="exact"/>
        <w:rPr>
          <w:rFonts w:hint="eastAsia" w:ascii="宋体" w:hAnsi="宋体" w:eastAsia="宋体" w:cs="宋体"/>
          <w:b/>
          <w:bCs/>
          <w:color w:val="auto"/>
          <w:sz w:val="28"/>
          <w:szCs w:val="28"/>
          <w:highlight w:val="none"/>
          <w:lang w:eastAsia="zh-CN"/>
        </w:rPr>
      </w:pPr>
      <w:bookmarkStart w:id="0" w:name="_GoBack"/>
      <w:bookmarkEnd w:id="0"/>
    </w:p>
    <w:p>
      <w:pPr>
        <w:shd w:val="clea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pPr>
        <w:pStyle w:val="2"/>
        <w:shd w:val="clear"/>
        <w:spacing w:beforeLines="0" w:line="500" w:lineRule="exact"/>
        <w:rPr>
          <w:rFonts w:hint="eastAsia" w:ascii="宋体" w:hAnsi="宋体" w:eastAsia="宋体" w:cs="宋体"/>
          <w:b/>
          <w:bCs/>
          <w:color w:val="auto"/>
          <w:sz w:val="28"/>
          <w:szCs w:val="28"/>
          <w:highlight w:val="none"/>
          <w:lang w:eastAsia="zh-CN"/>
        </w:rPr>
      </w:pPr>
    </w:p>
    <w:p>
      <w:pPr>
        <w:pStyle w:val="2"/>
        <w:shd w:val="clear"/>
        <w:spacing w:beforeLines="0" w:line="500" w:lineRule="exact"/>
        <w:rPr>
          <w:rFonts w:hint="eastAsia" w:ascii="宋体" w:hAnsi="宋体" w:eastAsia="宋体" w:cs="宋体"/>
          <w:b/>
          <w:bCs/>
          <w:color w:val="auto"/>
          <w:sz w:val="28"/>
          <w:szCs w:val="28"/>
          <w:highlight w:val="none"/>
          <w:lang w:eastAsia="zh-CN"/>
        </w:rPr>
      </w:pPr>
    </w:p>
    <w:p>
      <w:pPr>
        <w:pStyle w:val="2"/>
        <w:shd w:val="clear"/>
        <w:spacing w:beforeLines="0" w:line="500" w:lineRule="exact"/>
        <w:rPr>
          <w:rFonts w:hint="eastAsia" w:ascii="宋体" w:hAnsi="宋体" w:eastAsia="宋体" w:cs="宋体"/>
          <w:b/>
          <w:bCs/>
          <w:color w:val="auto"/>
          <w:sz w:val="28"/>
          <w:szCs w:val="28"/>
          <w:highlight w:val="none"/>
          <w:lang w:eastAsia="zh-CN"/>
        </w:rPr>
      </w:pPr>
    </w:p>
    <w:p>
      <w:pPr>
        <w:shd w:val="clear"/>
        <w:rPr>
          <w:rFonts w:hint="eastAsia" w:ascii="宋体" w:hAnsi="宋体" w:eastAsia="宋体" w:cs="宋体"/>
          <w:b/>
          <w:bCs/>
          <w:color w:val="auto"/>
          <w:sz w:val="28"/>
          <w:szCs w:val="28"/>
          <w:highlight w:val="none"/>
          <w:lang w:eastAsia="zh-CN"/>
        </w:rPr>
      </w:pPr>
    </w:p>
    <w:p>
      <w:pPr>
        <w:shd w:val="clear"/>
        <w:bidi w:val="0"/>
        <w:rPr>
          <w:rFonts w:hint="eastAsia"/>
          <w:highlight w:val="none"/>
          <w:lang w:eastAsia="zh-CN"/>
        </w:rPr>
      </w:pPr>
    </w:p>
    <w:p>
      <w:pPr>
        <w:pStyle w:val="2"/>
        <w:shd w:val="clear"/>
        <w:spacing w:beforeLines="0" w:line="500" w:lineRule="exact"/>
        <w:rPr>
          <w:rFonts w:hint="eastAsia" w:ascii="宋体" w:hAnsi="宋体" w:eastAsia="宋体" w:cs="宋体"/>
          <w:b/>
          <w:bCs/>
          <w:color w:val="auto"/>
          <w:sz w:val="28"/>
          <w:szCs w:val="28"/>
          <w:highlight w:val="none"/>
          <w:lang w:eastAsia="en-US"/>
        </w:rPr>
      </w:pPr>
    </w:p>
    <w:p>
      <w:pPr>
        <w:widowControl/>
        <w:shd w:val="clear"/>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pPr>
        <w:widowControl/>
        <w:shd w:val="clear"/>
        <w:kinsoku w:val="0"/>
        <w:autoSpaceDE w:val="0"/>
        <w:autoSpaceDN w:val="0"/>
        <w:adjustRightInd w:val="0"/>
        <w:snapToGrid w:val="0"/>
        <w:spacing w:before="0" w:beforeLines="0" w:line="360" w:lineRule="auto"/>
        <w:ind w:firstLine="1902" w:firstLineChars="592"/>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pPr>
        <w:shd w:val="clear"/>
        <w:spacing w:line="500" w:lineRule="exact"/>
        <w:jc w:val="center"/>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p>
    <w:p>
      <w:pPr>
        <w:shd w:val="clear"/>
        <w:spacing w:line="500" w:lineRule="exact"/>
        <w:jc w:val="both"/>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pPr>
        <w:shd w:val="clea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pPr>
        <w:shd w:val="clea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pPr>
        <w:shd w:val="clea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pPr>
        <w:shd w:val="clea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pPr>
        <w:shd w:val="clea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hd w:val="clea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val="en-US" w:eastAsia="zh-CN"/>
        </w:rPr>
        <w:t>陕西省省级公路网线位规划研究</w:t>
      </w:r>
      <w:r>
        <w:rPr>
          <w:rFonts w:hint="eastAsia" w:asciiTheme="minorEastAsia" w:hAnsiTheme="minorEastAsia" w:eastAsiaTheme="minorEastAsia" w:cstheme="minorEastAsia"/>
          <w:color w:val="auto"/>
          <w:sz w:val="28"/>
          <w:szCs w:val="28"/>
          <w:highlight w:val="none"/>
          <w:lang w:eastAsia="zh-CN"/>
        </w:rPr>
        <w:t>；</w:t>
      </w:r>
    </w:p>
    <w:p>
      <w:pPr>
        <w:shd w:val="clea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val="en-US" w:eastAsia="zh-CN"/>
        </w:rPr>
        <w:t>陕西省</w:t>
      </w:r>
      <w:r>
        <w:rPr>
          <w:rFonts w:hint="eastAsia" w:asciiTheme="minorEastAsia" w:hAnsiTheme="minorEastAsia" w:eastAsiaTheme="minorEastAsia" w:cstheme="minorEastAsia"/>
          <w:color w:val="auto"/>
          <w:sz w:val="28"/>
          <w:szCs w:val="28"/>
          <w:highlight w:val="none"/>
          <w:lang w:val="en-US" w:eastAsia="zh-CN"/>
        </w:rPr>
        <w:t>；</w:t>
      </w:r>
    </w:p>
    <w:p>
      <w:pPr>
        <w:shd w:val="clear"/>
        <w:spacing w:beforeLines="0" w:line="520" w:lineRule="exact"/>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3. 服务内容：</w:t>
      </w:r>
      <w:r>
        <w:rPr>
          <w:rFonts w:hint="eastAsia" w:asciiTheme="minorEastAsia" w:hAnsiTheme="minorEastAsia" w:eastAsiaTheme="minorEastAsia" w:cstheme="minorEastAsia"/>
          <w:color w:val="auto"/>
          <w:sz w:val="28"/>
          <w:szCs w:val="28"/>
          <w:highlight w:val="none"/>
          <w:u w:val="single"/>
          <w:lang w:val="en-US" w:eastAsia="zh-CN"/>
        </w:rPr>
        <w:t>根据《国家综合立体交通网规划纲要》《国家公路网规划》《国家公路网线位规划》《陕西省综合立体交通网规划纲要》，结合陕西省境内不同区域的自然地理特征和经济社会发展特点，研究确定陕西省省级公路线位规划的主要思路和基本原则，提出陕西境内省级公路线位规划方案,并梳理研究新增省级高速公路和普通省道命名编号</w:t>
      </w:r>
      <w:r>
        <w:rPr>
          <w:rFonts w:hint="eastAsia" w:asciiTheme="minorEastAsia" w:hAnsiTheme="minorEastAsia" w:eastAsiaTheme="minorEastAsia" w:cstheme="minorEastAsia"/>
          <w:color w:val="auto"/>
          <w:sz w:val="28"/>
          <w:szCs w:val="28"/>
          <w:highlight w:val="none"/>
          <w:u w:val="none"/>
          <w:lang w:val="en-US" w:eastAsia="zh-CN"/>
        </w:rPr>
        <w:t>。</w:t>
      </w:r>
    </w:p>
    <w:p>
      <w:pPr>
        <w:shd w:val="clea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pPr>
        <w:shd w:val="clea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pPr>
        <w:shd w:val="clea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pPr>
        <w:shd w:val="clea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pPr>
        <w:shd w:val="clea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pPr>
        <w:shd w:val="clear"/>
        <w:kinsoku/>
        <w:spacing w:beforeLines="0" w:line="520" w:lineRule="exact"/>
        <w:ind w:firstLine="554" w:firstLineChars="198"/>
        <w:jc w:val="both"/>
        <w:rPr>
          <w:rFonts w:hint="default"/>
          <w:highlight w:val="none"/>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pPr>
        <w:shd w:val="clea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本项目为固定总价合同，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pPr>
        <w:shd w:val="clea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pPr>
        <w:shd w:val="clear"/>
        <w:kinsoku/>
        <w:spacing w:beforeLines="0" w:line="520" w:lineRule="exact"/>
        <w:ind w:firstLine="554" w:firstLineChars="198"/>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pPr>
        <w:shd w:val="clea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2.付款方式：</w:t>
      </w:r>
    </w:p>
    <w:p>
      <w:pPr>
        <w:shd w:val="clear"/>
        <w:kinsoku/>
        <w:spacing w:beforeLines="0" w:line="520" w:lineRule="exact"/>
        <w:ind w:firstLine="554" w:firstLineChars="198"/>
        <w:jc w:val="both"/>
        <w:rPr>
          <w:rFonts w:hint="eastAsia"/>
          <w:highlight w:val="none"/>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pPr>
        <w:shd w:val="clear"/>
        <w:kinsoku/>
        <w:spacing w:beforeLines="0" w:line="520" w:lineRule="exact"/>
        <w:ind w:firstLine="554" w:firstLineChars="198"/>
        <w:jc w:val="both"/>
        <w:rPr>
          <w:rFonts w:hint="default" w:asciiTheme="minorEastAsia" w:hAnsiTheme="minorEastAsia" w:eastAsiaTheme="minorEastAsia" w:cstheme="minorEastAsia"/>
          <w:color w:val="auto"/>
          <w:sz w:val="28"/>
          <w:szCs w:val="28"/>
          <w:highlight w:val="none"/>
          <w:u w:val="single"/>
          <w:lang w:val="en-US" w:eastAsia="zh-CN"/>
        </w:rPr>
      </w:pPr>
      <w:r>
        <w:rPr>
          <w:rFonts w:hint="eastAsia" w:asciiTheme="minorEastAsia" w:hAnsiTheme="minorEastAsia" w:eastAsiaTheme="minorEastAsia" w:cstheme="minorEastAsia"/>
          <w:color w:val="auto"/>
          <w:sz w:val="28"/>
          <w:szCs w:val="28"/>
          <w:highlight w:val="none"/>
          <w:u w:val="single"/>
          <w:lang w:eastAsia="zh-CN"/>
        </w:rPr>
        <w:t>合同签订后，甲方收到履约保证金及增值税普通发票后，支付合同总金额的60.00%。</w:t>
      </w:r>
      <w:r>
        <w:rPr>
          <w:rFonts w:hint="eastAsia" w:asciiTheme="minorEastAsia" w:hAnsiTheme="minorEastAsia" w:eastAsiaTheme="minorEastAsia" w:cstheme="minorEastAsia"/>
          <w:color w:val="auto"/>
          <w:sz w:val="28"/>
          <w:szCs w:val="28"/>
          <w:highlight w:val="none"/>
          <w:u w:val="single"/>
          <w:lang w:val="en-US" w:eastAsia="zh-CN"/>
        </w:rPr>
        <w:t>乙方完成全部合同内容，提交陕西省省级公路网线位规划研究报告等最终成果文件经甲方确认合格后，支付合同总金额的40%。</w:t>
      </w:r>
    </w:p>
    <w:p>
      <w:pPr>
        <w:shd w:val="clea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pPr>
        <w:shd w:val="clea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u w:val="single"/>
          <w:lang w:eastAsia="zh-CN"/>
        </w:rPr>
        <w:t>自合同签订之日起1年。3个月内完成陕西省省级公路网线位规划研究报告初稿并提交甲方。</w:t>
      </w:r>
    </w:p>
    <w:p>
      <w:pPr>
        <w:shd w:val="clea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pPr>
        <w:shd w:val="clea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u w:val="none"/>
          <w:lang w:eastAsia="zh-CN"/>
        </w:rPr>
        <w:t>1</w:t>
      </w:r>
      <w:r>
        <w:rPr>
          <w:rFonts w:hint="eastAsia" w:asciiTheme="minorEastAsia" w:hAnsiTheme="minorEastAsia" w:eastAsiaTheme="minorEastAsia" w:cstheme="minorEastAsia"/>
          <w:color w:val="auto"/>
          <w:sz w:val="28"/>
          <w:szCs w:val="28"/>
          <w:highlight w:val="none"/>
          <w:u w:val="none"/>
          <w:lang w:val="en-US" w:eastAsia="zh-CN"/>
        </w:rPr>
        <w:t>.</w:t>
      </w:r>
      <w:r>
        <w:rPr>
          <w:rFonts w:hint="eastAsia" w:asciiTheme="minorEastAsia" w:hAnsiTheme="minorEastAsia" w:eastAsiaTheme="minorEastAsia" w:cstheme="minorEastAsia"/>
          <w:color w:val="auto"/>
          <w:sz w:val="28"/>
          <w:szCs w:val="28"/>
          <w:highlight w:val="none"/>
          <w:u w:val="single"/>
          <w:lang w:eastAsia="zh-CN"/>
        </w:rPr>
        <w:t>梳理陕西省省级公路网发展现状，分析规模、布局及存在问题；</w:t>
      </w:r>
    </w:p>
    <w:p>
      <w:pPr>
        <w:shd w:val="clea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u w:val="none"/>
          <w:lang w:eastAsia="zh-CN"/>
        </w:rPr>
        <w:t>2</w:t>
      </w:r>
      <w:r>
        <w:rPr>
          <w:rFonts w:hint="eastAsia" w:asciiTheme="minorEastAsia" w:hAnsiTheme="minorEastAsia" w:eastAsiaTheme="minorEastAsia" w:cstheme="minorEastAsia"/>
          <w:color w:val="auto"/>
          <w:sz w:val="28"/>
          <w:szCs w:val="28"/>
          <w:highlight w:val="none"/>
          <w:u w:val="none"/>
          <w:lang w:val="en-US" w:eastAsia="zh-CN"/>
        </w:rPr>
        <w:t>.</w:t>
      </w:r>
      <w:r>
        <w:rPr>
          <w:rFonts w:hint="eastAsia" w:asciiTheme="minorEastAsia" w:hAnsiTheme="minorEastAsia" w:eastAsiaTheme="minorEastAsia" w:cstheme="minorEastAsia"/>
          <w:color w:val="auto"/>
          <w:sz w:val="28"/>
          <w:szCs w:val="28"/>
          <w:highlight w:val="none"/>
          <w:u w:val="single"/>
          <w:lang w:eastAsia="zh-CN"/>
        </w:rPr>
        <w:t>研究提出线位规划的指导思想和基本原则，确保规划的科学性、前瞻性和可操作性；</w:t>
      </w:r>
    </w:p>
    <w:p>
      <w:pPr>
        <w:shd w:val="clea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u w:val="none"/>
          <w:lang w:eastAsia="zh-CN"/>
        </w:rPr>
        <w:t>3</w:t>
      </w:r>
      <w:r>
        <w:rPr>
          <w:rFonts w:hint="eastAsia" w:asciiTheme="minorEastAsia" w:hAnsiTheme="minorEastAsia" w:eastAsiaTheme="minorEastAsia" w:cstheme="minorEastAsia"/>
          <w:color w:val="auto"/>
          <w:sz w:val="28"/>
          <w:szCs w:val="28"/>
          <w:highlight w:val="none"/>
          <w:u w:val="none"/>
          <w:lang w:val="en-US" w:eastAsia="zh-CN"/>
        </w:rPr>
        <w:t>.</w:t>
      </w:r>
      <w:r>
        <w:rPr>
          <w:rFonts w:hint="eastAsia" w:asciiTheme="minorEastAsia" w:hAnsiTheme="minorEastAsia" w:eastAsiaTheme="minorEastAsia" w:cstheme="minorEastAsia"/>
          <w:color w:val="auto"/>
          <w:sz w:val="28"/>
          <w:szCs w:val="28"/>
          <w:highlight w:val="none"/>
          <w:u w:val="single"/>
          <w:lang w:eastAsia="zh-CN"/>
        </w:rPr>
        <w:t>优化省级公路网线位布局，明确调整和新增线路的走向及控制点，完善省级公路网编号体系；</w:t>
      </w:r>
    </w:p>
    <w:p>
      <w:pPr>
        <w:shd w:val="clear"/>
        <w:kinsoku/>
        <w:spacing w:beforeLines="0" w:line="520" w:lineRule="exact"/>
        <w:ind w:firstLine="554" w:firstLineChars="198"/>
        <w:jc w:val="both"/>
        <w:rPr>
          <w:rFonts w:hint="default"/>
          <w:highlight w:val="none"/>
          <w:lang w:val="en-US" w:eastAsia="zh-CN"/>
        </w:rPr>
      </w:pPr>
      <w:r>
        <w:rPr>
          <w:rFonts w:hint="eastAsia" w:asciiTheme="minorEastAsia" w:hAnsiTheme="minorEastAsia" w:eastAsiaTheme="minorEastAsia" w:cstheme="minorEastAsia"/>
          <w:color w:val="auto"/>
          <w:sz w:val="28"/>
          <w:szCs w:val="28"/>
          <w:highlight w:val="none"/>
          <w:u w:val="none"/>
          <w:lang w:eastAsia="zh-CN"/>
        </w:rPr>
        <w:t>4</w:t>
      </w:r>
      <w:r>
        <w:rPr>
          <w:rFonts w:hint="eastAsia" w:asciiTheme="minorEastAsia" w:hAnsiTheme="minorEastAsia" w:eastAsiaTheme="minorEastAsia" w:cstheme="minorEastAsia"/>
          <w:color w:val="auto"/>
          <w:sz w:val="28"/>
          <w:szCs w:val="28"/>
          <w:highlight w:val="none"/>
          <w:u w:val="none"/>
          <w:lang w:val="en-US" w:eastAsia="zh-CN"/>
        </w:rPr>
        <w:t>.</w:t>
      </w:r>
      <w:r>
        <w:rPr>
          <w:rFonts w:hint="eastAsia" w:asciiTheme="minorEastAsia" w:hAnsiTheme="minorEastAsia" w:eastAsiaTheme="minorEastAsia" w:cstheme="minorEastAsia"/>
          <w:color w:val="auto"/>
          <w:sz w:val="28"/>
          <w:szCs w:val="28"/>
          <w:highlight w:val="none"/>
          <w:u w:val="single"/>
          <w:lang w:eastAsia="zh-CN"/>
        </w:rPr>
        <w:t>制定分期实施计划和保障措施，确保规划落地实施。</w:t>
      </w:r>
    </w:p>
    <w:p>
      <w:pPr>
        <w:shd w:val="clea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pPr>
        <w:shd w:val="clea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pPr>
        <w:shd w:val="clear"/>
        <w:kinsoku/>
        <w:spacing w:beforeLines="0" w:line="520" w:lineRule="exact"/>
        <w:ind w:firstLine="554" w:firstLineChars="198"/>
        <w:jc w:val="both"/>
        <w:rPr>
          <w:rFonts w:hint="default"/>
          <w:color w:val="auto"/>
          <w:highlight w:val="none"/>
          <w:lang w:val="en-US"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pPr>
        <w:shd w:val="clea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pPr>
        <w:shd w:val="clea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pPr>
        <w:shd w:val="clea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技术支持及服务</w:t>
      </w:r>
      <w:r>
        <w:rPr>
          <w:rFonts w:hint="eastAsia" w:asciiTheme="minorEastAsia" w:hAnsiTheme="minorEastAsia" w:eastAsiaTheme="minorEastAsia" w:cstheme="minorEastAsia"/>
          <w:color w:val="auto"/>
          <w:sz w:val="28"/>
          <w:szCs w:val="28"/>
          <w:highlight w:val="none"/>
          <w:lang w:eastAsia="zh-CN"/>
        </w:rPr>
        <w:t>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pPr>
        <w:shd w:val="clea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pPr>
        <w:shd w:val="clea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pPr>
        <w:keepNext w:val="0"/>
        <w:keepLines w:val="0"/>
        <w:pageBreakBefore w:val="0"/>
        <w:widowControl/>
        <w:shd w:val="clear"/>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pPr>
        <w:keepNext w:val="0"/>
        <w:keepLines w:val="0"/>
        <w:pageBreakBefore w:val="0"/>
        <w:widowControl/>
        <w:shd w:val="clear"/>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keepNext w:val="0"/>
        <w:keepLines w:val="0"/>
        <w:pageBreakBefore w:val="0"/>
        <w:widowControl/>
        <w:shd w:val="clear"/>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1.在履行本合同的过程中，任何一方违反本合同约定，首先双方友好协商解决，否则违约方应按照《中华人民共和国民法典》有关条款的规定承担违约责任。</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2.</w:t>
      </w:r>
      <w:r>
        <w:rPr>
          <w:rFonts w:hint="eastAsia" w:ascii="宋体" w:hAnsi="宋体" w:eastAsia="宋体" w:cs="宋体"/>
          <w:b w:val="0"/>
          <w:bCs w:val="0"/>
          <w:snapToGrid w:val="0"/>
          <w:color w:val="auto"/>
          <w:kern w:val="0"/>
          <w:sz w:val="28"/>
          <w:szCs w:val="28"/>
          <w:highlight w:val="none"/>
          <w:lang w:val="en-US" w:eastAsia="zh-CN"/>
        </w:rPr>
        <w:t>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zh-CN" w:eastAsia="zh-CN"/>
        </w:rPr>
        <w:t>3.如因乙方原因造成全部或部分资料损毁、遗失或向第三方公开，乙方按照合同总价款的20%向甲方承担赔偿责任，不足以弥补甲方损失的，还应予以赔偿。</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4.如因乙方原因造成工作延误、数据报送不及时、交通部审核不通过、数据质量被通报追责等问题，乙方按合同总价的20%向甲方承担赔偿责任，不足以弥补甲方损失的还应予以补足。</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5</w:t>
      </w:r>
      <w:r>
        <w:rPr>
          <w:rFonts w:hint="eastAsia" w:ascii="宋体" w:hAnsi="宋体" w:eastAsia="宋体" w:cs="宋体"/>
          <w:b w:val="0"/>
          <w:bCs w:val="0"/>
          <w:snapToGrid w:val="0"/>
          <w:color w:val="auto"/>
          <w:kern w:val="0"/>
          <w:sz w:val="28"/>
          <w:szCs w:val="28"/>
          <w:highlight w:val="none"/>
          <w:lang w:val="zh-CN"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6</w:t>
      </w:r>
      <w:r>
        <w:rPr>
          <w:rFonts w:hint="eastAsia" w:ascii="宋体" w:hAnsi="宋体" w:eastAsia="宋体" w:cs="宋体"/>
          <w:b w:val="0"/>
          <w:bCs w:val="0"/>
          <w:snapToGrid w:val="0"/>
          <w:color w:val="auto"/>
          <w:kern w:val="0"/>
          <w:sz w:val="28"/>
          <w:szCs w:val="28"/>
          <w:highlight w:val="none"/>
          <w:lang w:val="zh-CN" w:eastAsia="zh-CN"/>
        </w:rPr>
        <w:t>.因乙方原因导致工作停滞、延误的，未在规定期限内完成工作任务的，每顺延一天罚金合同金额0.</w:t>
      </w: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eastAsia="宋体" w:cs="宋体"/>
          <w:b w:val="0"/>
          <w:bCs w:val="0"/>
          <w:snapToGrid w:val="0"/>
          <w:color w:val="auto"/>
          <w:kern w:val="0"/>
          <w:sz w:val="28"/>
          <w:szCs w:val="28"/>
          <w:highlight w:val="none"/>
          <w:lang w:val="zh-CN" w:eastAsia="zh-CN"/>
        </w:rPr>
        <w:t>%。延期超过30天的，甲方有权解除合同，并要求乙方赔偿全部损失。</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7</w:t>
      </w:r>
      <w:r>
        <w:rPr>
          <w:rFonts w:hint="eastAsia" w:ascii="宋体" w:hAnsi="宋体" w:eastAsia="宋体" w:cs="宋体"/>
          <w:b w:val="0"/>
          <w:bCs w:val="0"/>
          <w:snapToGrid w:val="0"/>
          <w:color w:val="auto"/>
          <w:kern w:val="0"/>
          <w:sz w:val="28"/>
          <w:szCs w:val="28"/>
          <w:highlight w:val="none"/>
          <w:lang w:val="zh-CN" w:eastAsia="zh-CN"/>
        </w:rPr>
        <w:t>.无正当理由单方终止合同，违约方除赔偿给对方造成的损失外，还应向守约方支付项目总额10%的违约金。</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8.未按合同要求提供服务或服务质量不能满足本次磋商要求，甲方会同监督机构、采购代理机构有权终止合同和对乙方违约行为进行追究，同时按政府采购法的有关规定进行相应的处罚。</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9</w:t>
      </w:r>
      <w:r>
        <w:rPr>
          <w:rFonts w:hint="eastAsia" w:ascii="宋体" w:hAnsi="宋体" w:eastAsia="宋体" w:cs="宋体"/>
          <w:b w:val="0"/>
          <w:bCs w:val="0"/>
          <w:snapToGrid w:val="0"/>
          <w:color w:val="auto"/>
          <w:kern w:val="0"/>
          <w:sz w:val="28"/>
          <w:szCs w:val="28"/>
          <w:highlight w:val="none"/>
          <w:lang w:val="zh-CN" w:eastAsia="zh-CN"/>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shd w:val="clea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pPr>
        <w:keepNext w:val="0"/>
        <w:keepLines w:val="0"/>
        <w:pageBreakBefore w:val="0"/>
        <w:widowControl/>
        <w:shd w:val="clear"/>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zh-CN" w:eastAsia="zh-CN"/>
        </w:rPr>
      </w:pPr>
      <w:r>
        <w:rPr>
          <w:rFonts w:hint="eastAsia" w:ascii="宋体" w:hAnsi="宋体" w:eastAsia="宋体" w:cs="宋体"/>
          <w:b w:val="0"/>
          <w:bCs w:val="0"/>
          <w:snapToGrid w:val="0"/>
          <w:color w:val="auto"/>
          <w:kern w:val="0"/>
          <w:sz w:val="28"/>
          <w:szCs w:val="28"/>
          <w:highlight w:val="none"/>
          <w:lang w:val="en-US" w:eastAsia="zh-CN"/>
        </w:rPr>
        <w:t>1.本合同在履行过程中发生的争议，由甲、乙双方当事人协商解决，协商不成的依法向甲方所在地有管辖权的人民法院法院起诉</w:t>
      </w:r>
      <w:r>
        <w:rPr>
          <w:rFonts w:hint="eastAsia" w:ascii="宋体" w:hAnsi="宋体" w:eastAsia="宋体" w:cs="宋体"/>
          <w:b w:val="0"/>
          <w:bCs w:val="0"/>
          <w:snapToGrid w:val="0"/>
          <w:color w:val="auto"/>
          <w:kern w:val="0"/>
          <w:sz w:val="28"/>
          <w:szCs w:val="28"/>
          <w:highlight w:val="none"/>
          <w:lang w:val="zh-CN" w:eastAsia="zh-CN"/>
        </w:rPr>
        <w:t>。</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2.在诉讼期间，除正在进行诉讼部分外，合同其他部分继续执行。</w:t>
      </w:r>
    </w:p>
    <w:p>
      <w:pPr>
        <w:keepNext w:val="0"/>
        <w:keepLines w:val="0"/>
        <w:pageBreakBefore w:val="0"/>
        <w:widowControl/>
        <w:shd w:val="clear"/>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pPr>
        <w:keepNext w:val="0"/>
        <w:keepLines w:val="0"/>
        <w:pageBreakBefore w:val="0"/>
        <w:widowControl/>
        <w:shd w:val="clear"/>
        <w:kinsoku/>
        <w:wordWrap w:val="0"/>
        <w:overflowPunct/>
        <w:topLinePunct/>
        <w:autoSpaceDE/>
        <w:autoSpaceDN/>
        <w:bidi w:val="0"/>
        <w:adjustRightInd w:val="0"/>
        <w:snapToGrid w:val="0"/>
        <w:spacing w:line="480" w:lineRule="exact"/>
        <w:ind w:firstLine="601"/>
        <w:jc w:val="left"/>
        <w:textAlignment w:val="baseline"/>
        <w:rPr>
          <w:rFonts w:hint="eastAsia" w:asciiTheme="minorEastAsia" w:hAnsiTheme="minorEastAsia" w:eastAsiaTheme="minorEastAsia" w:cstheme="minorEastAsia"/>
          <w:color w:val="auto"/>
          <w:sz w:val="28"/>
          <w:szCs w:val="28"/>
          <w:highlight w:val="none"/>
          <w:lang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tbl>
      <w:tblPr>
        <w:tblStyle w:val="7"/>
        <w:tblW w:w="907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9" w:hRule="atLeast"/>
          <w:jc w:val="center"/>
        </w:trPr>
        <w:tc>
          <w:tcPr>
            <w:tcW w:w="4591" w:type="dxa"/>
            <w:vAlign w:val="center"/>
          </w:tcPr>
          <w:p>
            <w:pPr>
              <w:pStyle w:val="2"/>
              <w:widowControl w:val="0"/>
              <w:shd w:val="clear"/>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pPr>
              <w:pStyle w:val="2"/>
              <w:widowControl w:val="0"/>
              <w:shd w:val="clear"/>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shd w:val="clea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hd w:val="clear"/>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shd w:val="clear"/>
              <w:rPr>
                <w:color w:val="auto"/>
                <w:highlight w:val="none"/>
              </w:rPr>
            </w:pPr>
          </w:p>
          <w:p>
            <w:pPr>
              <w:shd w:val="clear"/>
              <w:rPr>
                <w:color w:val="auto"/>
                <w:highlight w:val="none"/>
              </w:rPr>
            </w:pPr>
          </w:p>
          <w:p>
            <w:pPr>
              <w:shd w:val="clea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hd w:val="clear"/>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2"/>
              <w:widowControl w:val="0"/>
              <w:shd w:val="clear"/>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pPr>
              <w:shd w:val="clear"/>
              <w:rPr>
                <w:rFonts w:hint="eastAsia" w:asciiTheme="minorEastAsia" w:hAnsiTheme="minorEastAsia" w:eastAsiaTheme="minorEastAsia" w:cstheme="minorEastAsia"/>
                <w:color w:val="auto"/>
                <w:sz w:val="28"/>
                <w:szCs w:val="28"/>
                <w:highlight w:val="none"/>
                <w:lang w:val="en-US" w:eastAsia="zh-CN"/>
              </w:rPr>
            </w:pPr>
          </w:p>
          <w:p>
            <w:pPr>
              <w:shd w:val="clea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vAlign w:val="center"/>
          </w:tcPr>
          <w:p>
            <w:pPr>
              <w:shd w:val="clea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hd w:val="clear"/>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pStyle w:val="2"/>
              <w:widowControl w:val="0"/>
              <w:shd w:val="clear"/>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2"/>
              <w:widowControl w:val="0"/>
              <w:shd w:val="clear"/>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shd w:val="clear"/>
              <w:rPr>
                <w:color w:val="auto"/>
                <w:highlight w:val="none"/>
              </w:rPr>
            </w:pPr>
          </w:p>
          <w:p>
            <w:pPr>
              <w:shd w:val="clear"/>
              <w:rPr>
                <w:color w:val="auto"/>
                <w:highlight w:val="none"/>
              </w:rPr>
            </w:pPr>
          </w:p>
          <w:p>
            <w:pPr>
              <w:shd w:val="clea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2"/>
              <w:widowControl w:val="0"/>
              <w:shd w:val="clear"/>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shd w:val="clea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pPr>
              <w:shd w:val="clear"/>
              <w:rPr>
                <w:rFonts w:hint="eastAsia" w:asciiTheme="minorEastAsia" w:hAnsiTheme="minorEastAsia" w:eastAsiaTheme="minorEastAsia" w:cstheme="minorEastAsia"/>
                <w:color w:val="auto"/>
                <w:sz w:val="28"/>
                <w:szCs w:val="28"/>
                <w:highlight w:val="none"/>
                <w:lang w:val="en-US" w:eastAsia="zh-CN"/>
              </w:rPr>
            </w:pPr>
          </w:p>
          <w:p>
            <w:pPr>
              <w:shd w:val="clea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pPr>
        <w:pStyle w:val="5"/>
        <w:shd w:val="clear"/>
        <w:spacing w:beforeLines="0" w:line="500" w:lineRule="exact"/>
        <w:rPr>
          <w:rFonts w:hint="eastAsia" w:asciiTheme="minorEastAsia" w:hAnsiTheme="minorEastAsia" w:eastAsiaTheme="minorEastAsia" w:cstheme="minorEastAsia"/>
          <w:color w:val="auto"/>
          <w:sz w:val="28"/>
          <w:szCs w:val="28"/>
          <w:highlight w:val="none"/>
        </w:rPr>
      </w:pPr>
    </w:p>
    <w:p>
      <w:pPr>
        <w:pStyle w:val="5"/>
        <w:shd w:val="clear"/>
        <w:spacing w:line="640" w:lineRule="exact"/>
        <w:rPr>
          <w:rFonts w:hint="eastAsia"/>
          <w:color w:val="auto"/>
          <w:highlight w:val="none"/>
        </w:rPr>
        <w:sectPr>
          <w:pgSz w:w="11906" w:h="16838"/>
          <w:pgMar w:top="1440" w:right="1800" w:bottom="1440" w:left="1800" w:header="851" w:footer="992" w:gutter="0"/>
          <w:cols w:space="425" w:num="1"/>
          <w:docGrid w:type="lines" w:linePitch="312" w:charSpace="0"/>
        </w:sectPr>
      </w:pPr>
    </w:p>
    <w:p>
      <w:pPr>
        <w:shd w:val="clea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pPr>
        <w:shd w:val="clea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pPr>
        <w:shd w:val="clea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陕西省省级公路网线位规划研究</w:t>
      </w:r>
      <w:r>
        <w:rPr>
          <w:rFonts w:hint="eastAsia" w:asciiTheme="minorEastAsia" w:hAnsiTheme="minorEastAsia" w:eastAsiaTheme="minorEastAsia" w:cstheme="minorEastAsia"/>
          <w:color w:val="auto"/>
          <w:sz w:val="28"/>
          <w:szCs w:val="28"/>
          <w:highlight w:val="none"/>
          <w:lang w:eastAsia="zh-CN"/>
        </w:rPr>
        <w:t>合同文件，自觉按合同办事。</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pPr>
        <w:shd w:val="clea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pPr>
        <w:shd w:val="clea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pPr>
        <w:shd w:val="clea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pPr>
        <w:shd w:val="clea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pPr>
        <w:shd w:val="clea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陕西省省级公路网线位规划研究</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pPr>
        <w:shd w:val="clea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pPr>
        <w:shd w:val="clea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hd w:val="clea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hd w:val="clear"/>
        <w:spacing w:beforeLines="0" w:line="500" w:lineRule="exact"/>
        <w:textAlignment w:val="bottom"/>
        <w:rPr>
          <w:rFonts w:hint="eastAsia" w:asciiTheme="minorEastAsia" w:hAnsiTheme="minorEastAsia" w:eastAsiaTheme="minorEastAsia" w:cstheme="minorEastAsia"/>
          <w:color w:val="auto"/>
          <w:sz w:val="28"/>
          <w:szCs w:val="28"/>
          <w:highlight w:val="none"/>
          <w:lang w:eastAsia="zh-CN"/>
        </w:rPr>
      </w:pPr>
    </w:p>
    <w:p>
      <w:pPr>
        <w:shd w:val="clea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pPr>
        <w:shd w:val="clea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shd w:val="clear"/>
        <w:spacing w:beforeLines="0" w:line="500" w:lineRule="exact"/>
        <w:jc w:val="right"/>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年     月     日</w:t>
      </w:r>
    </w:p>
    <w:p>
      <w:pPr>
        <w:shd w:val="clear"/>
        <w:spacing w:beforeLines="0" w:line="500" w:lineRule="exact"/>
        <w:textAlignment w:val="bottom"/>
        <w:rPr>
          <w:rFonts w:hint="eastAsia" w:asciiTheme="minorEastAsia" w:hAnsiTheme="minorEastAsia" w:eastAsiaTheme="minorEastAsia" w:cstheme="minorEastAsia"/>
          <w:b w:val="0"/>
          <w:color w:val="auto"/>
          <w:spacing w:val="0"/>
          <w:sz w:val="28"/>
          <w:szCs w:val="28"/>
          <w:highlight w:val="none"/>
          <w:lang w:eastAsia="zh-CN"/>
        </w:rPr>
      </w:pPr>
    </w:p>
    <w:p>
      <w:pPr>
        <w:shd w:val="clea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pPr>
        <w:shd w:val="clea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pStyle w:val="9"/>
        <w:shd w:val="clear"/>
        <w:jc w:val="right"/>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年     月     日</w:t>
      </w:r>
    </w:p>
    <w:p>
      <w:pPr>
        <w:pStyle w:val="9"/>
        <w:shd w:val="clear"/>
        <w:rPr>
          <w:rFonts w:hint="default" w:ascii="宋体" w:hAnsi="宋体" w:eastAsia="宋体" w:cs="宋体"/>
          <w:highlight w:val="none"/>
        </w:rPr>
      </w:pPr>
    </w:p>
    <w:p>
      <w:pPr>
        <w:shd w:val="clea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A10E87"/>
    <w:rsid w:val="0EAC2314"/>
    <w:rsid w:val="1582797F"/>
    <w:rsid w:val="21EB367B"/>
    <w:rsid w:val="2481358B"/>
    <w:rsid w:val="30C759D9"/>
    <w:rsid w:val="4A1F3DE7"/>
    <w:rsid w:val="52A10E87"/>
    <w:rsid w:val="580476E5"/>
    <w:rsid w:val="5BF34B3B"/>
    <w:rsid w:val="6BDC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eastAsia="宋体" w:asciiTheme="minorAscii" w:hAnsiTheme="minorAscii"/>
      <w:b/>
      <w:kern w:val="44"/>
      <w:sz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5">
    <w:name w:val="toc 1"/>
    <w:basedOn w:val="1"/>
    <w:next w:val="1"/>
    <w:unhideWhenUsed/>
    <w:qFormat/>
    <w:uiPriority w:val="39"/>
  </w:style>
  <w:style w:type="table" w:styleId="7">
    <w:name w:val="Table Grid"/>
    <w:basedOn w:val="6"/>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2025-04-29T08:42:00Z</dcterms:created>
  <dc:creator>Administrator</dc:creator>
  <cp:lastModifiedBy>Administrator</cp:lastModifiedBy>
  <dcterms:modified xsi:type="dcterms:W3CDTF">2025-05-20T08:24:47Z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