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注：本合同为示范文本，具体条款内容由甲方和乙方协商确定，但不得改变招标文件、投标文件、中标通知书里的实质性内容。）</w:t>
      </w: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签订地点：</w:t>
      </w:r>
      <w:r>
        <w:rPr>
          <w:rFonts w:hint="eastAsia" w:ascii="仿宋" w:hAnsi="仿宋" w:eastAsia="仿宋" w:cs="仿宋"/>
          <w:color w:val="auto"/>
          <w:highlight w:val="none"/>
          <w:u w:val="single"/>
          <w:lang w:val="en-US" w:eastAsia="zh-CN"/>
        </w:rPr>
        <w:t xml:space="preserve">                </w:t>
      </w: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签订时间：</w:t>
      </w:r>
      <w:r>
        <w:rPr>
          <w:rFonts w:hint="eastAsia" w:ascii="仿宋" w:hAnsi="仿宋" w:eastAsia="仿宋" w:cs="仿宋"/>
          <w:color w:val="auto"/>
          <w:highlight w:val="none"/>
          <w:u w:val="single"/>
          <w:lang w:val="en-US" w:eastAsia="zh-CN"/>
        </w:rPr>
        <w:t xml:space="preserve">                 </w:t>
      </w: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采购人（甲方）：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highlight w:val="none"/>
        </w:rPr>
      </w:pPr>
      <w:r>
        <w:rPr>
          <w:rFonts w:hint="eastAsia" w:ascii="仿宋" w:hAnsi="仿宋" w:eastAsia="仿宋" w:cs="仿宋"/>
          <w:color w:val="auto"/>
          <w:highlight w:val="none"/>
        </w:rPr>
        <w:t>供应商（乙方）：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（中标人）</w:t>
      </w:r>
    </w:p>
    <w:p>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根据《中华人民共和国政府采购法》及实施条例、《中华人民共和国民法典》和甲方</w:t>
      </w:r>
      <w:r>
        <w:rPr>
          <w:rFonts w:hint="eastAsia" w:ascii="仿宋" w:hAnsi="仿宋" w:eastAsia="仿宋" w:cs="仿宋"/>
          <w:color w:val="auto"/>
          <w:highlight w:val="none"/>
          <w:u w:val="single"/>
          <w:lang w:val="en-US" w:eastAsia="zh-CN"/>
        </w:rPr>
        <w:t xml:space="preserve">     项目名称     </w:t>
      </w:r>
      <w:r>
        <w:rPr>
          <w:rFonts w:hint="eastAsia" w:ascii="仿宋" w:hAnsi="仿宋" w:eastAsia="仿宋" w:cs="仿宋"/>
          <w:color w:val="auto"/>
          <w:kern w:val="0"/>
          <w:sz w:val="24"/>
          <w:szCs w:val="24"/>
          <w:lang w:val="en-US" w:eastAsia="zh-CN" w:bidi="ar-SA"/>
        </w:rPr>
        <w:t>（</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）的招标文件、投标文件等有关规定，为确保甲方采购项目的顺利实施，甲、乙双方在平等自愿原则下签订本合同，并共同遵守如下条款：</w:t>
      </w:r>
    </w:p>
    <w:p>
      <w:pPr>
        <w:pStyle w:val="13"/>
        <w:spacing w:line="360" w:lineRule="auto"/>
        <w:outlineLvl w:val="1"/>
        <w:rPr>
          <w:rFonts w:hint="eastAsia" w:ascii="仿宋" w:hAnsi="仿宋" w:eastAsia="仿宋" w:cs="仿宋"/>
          <w:b/>
          <w:color w:val="auto"/>
          <w:highlight w:val="none"/>
        </w:rPr>
      </w:pPr>
      <w:bookmarkStart w:id="0" w:name="_Toc8686"/>
      <w:bookmarkStart w:id="1" w:name="_Toc3373"/>
      <w:bookmarkStart w:id="2" w:name="_Toc18934"/>
      <w:r>
        <w:rPr>
          <w:rFonts w:hint="eastAsia" w:ascii="仿宋" w:hAnsi="仿宋" w:eastAsia="仿宋" w:cs="仿宋"/>
          <w:b/>
          <w:color w:val="auto"/>
          <w:highlight w:val="none"/>
        </w:rPr>
        <w:t>第一条 合同标的及数量</w:t>
      </w:r>
      <w:bookmarkEnd w:id="0"/>
      <w:bookmarkEnd w:id="1"/>
      <w:bookmarkEnd w:id="2"/>
    </w:p>
    <w:p>
      <w:pPr>
        <w:pStyle w:val="13"/>
        <w:spacing w:line="360" w:lineRule="auto"/>
        <w:ind w:firstLine="480" w:firstLineChars="200"/>
        <w:outlineLvl w:val="9"/>
        <w:rPr>
          <w:rFonts w:hint="eastAsia" w:ascii="仿宋" w:hAnsi="仿宋" w:eastAsia="仿宋" w:cs="仿宋"/>
          <w:b/>
          <w:color w:val="auto"/>
          <w:highlight w:val="none"/>
        </w:rPr>
      </w:pPr>
      <w:r>
        <w:rPr>
          <w:rFonts w:hint="eastAsia" w:ascii="仿宋" w:hAnsi="仿宋" w:eastAsia="仿宋" w:cs="仿宋"/>
          <w:color w:val="auto"/>
          <w:highlight w:val="none"/>
        </w:rPr>
        <w:t>乙方向甲方提供下列货物（产品）</w:t>
      </w:r>
      <w:r>
        <w:rPr>
          <w:rFonts w:hint="eastAsia" w:ascii="仿宋" w:hAnsi="仿宋" w:eastAsia="仿宋" w:cs="仿宋"/>
          <w:color w:val="auto"/>
          <w:highlight w:val="none"/>
          <w:lang w:val="en-US" w:eastAsia="zh-CN"/>
        </w:rPr>
        <w:t>及相关服务</w:t>
      </w:r>
      <w:r>
        <w:rPr>
          <w:rFonts w:hint="eastAsia" w:ascii="仿宋" w:hAnsi="仿宋" w:eastAsia="仿宋" w:cs="仿宋"/>
          <w:color w:val="auto"/>
          <w:highlight w:val="none"/>
        </w:rPr>
        <w:t>：</w:t>
      </w:r>
    </w:p>
    <w:p>
      <w:pPr>
        <w:pStyle w:val="7"/>
        <w:spacing w:line="360" w:lineRule="auto"/>
        <w:ind w:firstLine="0"/>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货物（产品）及相关服务一览表</w:t>
      </w:r>
    </w:p>
    <w:tbl>
      <w:tblPr>
        <w:tblStyle w:val="11"/>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377"/>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pPr>
              <w:outlineLvl w:val="9"/>
              <w:rPr>
                <w:rFonts w:hint="eastAsia" w:ascii="仿宋" w:hAnsi="仿宋" w:eastAsia="仿宋" w:cs="仿宋"/>
                <w:color w:val="auto"/>
                <w:sz w:val="24"/>
                <w:szCs w:val="24"/>
                <w:highlight w:val="none"/>
              </w:rPr>
            </w:pPr>
            <w:bookmarkStart w:id="3" w:name="_Toc1631"/>
            <w:bookmarkStart w:id="4" w:name="_Toc26294"/>
            <w:bookmarkStart w:id="5" w:name="_Toc31400"/>
            <w:bookmarkStart w:id="6" w:name="_Toc7471"/>
            <w:bookmarkStart w:id="7" w:name="_Toc21343"/>
            <w:r>
              <w:rPr>
                <w:rFonts w:hint="eastAsia" w:ascii="仿宋" w:hAnsi="仿宋" w:eastAsia="仿宋" w:cs="仿宋"/>
                <w:color w:val="auto"/>
                <w:sz w:val="24"/>
                <w:szCs w:val="24"/>
                <w:highlight w:val="none"/>
              </w:rPr>
              <w:t>序号</w:t>
            </w:r>
            <w:bookmarkEnd w:id="3"/>
            <w:bookmarkEnd w:id="4"/>
            <w:bookmarkEnd w:id="5"/>
            <w:bookmarkEnd w:id="6"/>
            <w:bookmarkEnd w:id="7"/>
          </w:p>
        </w:tc>
        <w:tc>
          <w:tcPr>
            <w:tcW w:w="1461" w:type="dxa"/>
            <w:vAlign w:val="center"/>
          </w:tcPr>
          <w:p>
            <w:pPr>
              <w:jc w:val="center"/>
              <w:outlineLvl w:val="9"/>
              <w:rPr>
                <w:rFonts w:hint="eastAsia" w:ascii="仿宋" w:hAnsi="仿宋" w:eastAsia="仿宋" w:cs="仿宋"/>
                <w:color w:val="auto"/>
                <w:sz w:val="24"/>
                <w:szCs w:val="24"/>
                <w:highlight w:val="none"/>
              </w:rPr>
            </w:pPr>
            <w:bookmarkStart w:id="8" w:name="_Toc22389"/>
            <w:bookmarkStart w:id="9" w:name="_Toc678"/>
            <w:bookmarkStart w:id="10" w:name="_Toc23183"/>
            <w:bookmarkStart w:id="11" w:name="_Toc6445"/>
            <w:bookmarkStart w:id="12" w:name="_Toc3968"/>
            <w:r>
              <w:rPr>
                <w:rFonts w:hint="eastAsia" w:ascii="仿宋" w:hAnsi="仿宋" w:eastAsia="仿宋" w:cs="仿宋"/>
                <w:color w:val="auto"/>
                <w:sz w:val="24"/>
                <w:szCs w:val="24"/>
                <w:highlight w:val="none"/>
              </w:rPr>
              <w:t>名称</w:t>
            </w:r>
            <w:bookmarkEnd w:id="8"/>
            <w:bookmarkEnd w:id="9"/>
            <w:bookmarkEnd w:id="10"/>
            <w:bookmarkEnd w:id="11"/>
            <w:bookmarkEnd w:id="12"/>
          </w:p>
        </w:tc>
        <w:tc>
          <w:tcPr>
            <w:tcW w:w="1623" w:type="dxa"/>
            <w:vAlign w:val="center"/>
          </w:tcPr>
          <w:p>
            <w:pPr>
              <w:outlineLvl w:val="9"/>
              <w:rPr>
                <w:rFonts w:hint="eastAsia" w:ascii="仿宋" w:hAnsi="仿宋" w:eastAsia="仿宋" w:cs="仿宋"/>
                <w:color w:val="auto"/>
                <w:sz w:val="24"/>
                <w:szCs w:val="24"/>
                <w:highlight w:val="none"/>
              </w:rPr>
            </w:pPr>
            <w:bookmarkStart w:id="13" w:name="_Toc16370"/>
            <w:bookmarkStart w:id="14" w:name="_Toc6213"/>
            <w:bookmarkStart w:id="15" w:name="_Toc31540"/>
            <w:bookmarkStart w:id="16" w:name="_Toc13493"/>
            <w:bookmarkStart w:id="17" w:name="_Toc5820"/>
            <w:r>
              <w:rPr>
                <w:rFonts w:hint="eastAsia" w:ascii="仿宋" w:hAnsi="仿宋" w:eastAsia="仿宋" w:cs="仿宋"/>
                <w:color w:val="auto"/>
                <w:sz w:val="24"/>
                <w:szCs w:val="24"/>
                <w:highlight w:val="none"/>
              </w:rPr>
              <w:t>品牌/型号</w:t>
            </w:r>
            <w:bookmarkEnd w:id="13"/>
            <w:bookmarkEnd w:id="14"/>
            <w:bookmarkEnd w:id="15"/>
            <w:bookmarkEnd w:id="16"/>
            <w:bookmarkEnd w:id="17"/>
          </w:p>
        </w:tc>
        <w:tc>
          <w:tcPr>
            <w:tcW w:w="832" w:type="dxa"/>
            <w:vAlign w:val="center"/>
          </w:tcPr>
          <w:p>
            <w:pPr>
              <w:outlineLvl w:val="9"/>
              <w:rPr>
                <w:rFonts w:hint="eastAsia" w:ascii="仿宋" w:hAnsi="仿宋" w:eastAsia="仿宋" w:cs="仿宋"/>
                <w:color w:val="auto"/>
                <w:sz w:val="24"/>
                <w:szCs w:val="24"/>
                <w:highlight w:val="none"/>
              </w:rPr>
            </w:pPr>
            <w:bookmarkStart w:id="18" w:name="_Toc15931"/>
            <w:bookmarkStart w:id="19" w:name="_Toc21205"/>
            <w:bookmarkStart w:id="20" w:name="_Toc3362"/>
            <w:bookmarkStart w:id="21" w:name="_Toc5177"/>
            <w:bookmarkStart w:id="22" w:name="_Toc3931"/>
            <w:r>
              <w:rPr>
                <w:rFonts w:hint="eastAsia" w:ascii="仿宋" w:hAnsi="仿宋" w:eastAsia="仿宋" w:cs="仿宋"/>
                <w:color w:val="auto"/>
                <w:sz w:val="24"/>
                <w:szCs w:val="24"/>
                <w:highlight w:val="none"/>
              </w:rPr>
              <w:t>规格</w:t>
            </w:r>
            <w:bookmarkEnd w:id="18"/>
            <w:bookmarkEnd w:id="19"/>
            <w:bookmarkEnd w:id="20"/>
            <w:bookmarkEnd w:id="21"/>
            <w:bookmarkEnd w:id="22"/>
          </w:p>
        </w:tc>
        <w:tc>
          <w:tcPr>
            <w:tcW w:w="822" w:type="dxa"/>
            <w:vAlign w:val="center"/>
          </w:tcPr>
          <w:p>
            <w:pPr>
              <w:outlineLvl w:val="9"/>
              <w:rPr>
                <w:rFonts w:hint="eastAsia" w:ascii="仿宋" w:hAnsi="仿宋" w:eastAsia="仿宋" w:cs="仿宋"/>
                <w:color w:val="auto"/>
                <w:sz w:val="24"/>
                <w:szCs w:val="24"/>
                <w:highlight w:val="none"/>
              </w:rPr>
            </w:pPr>
            <w:bookmarkStart w:id="23" w:name="_Toc13801"/>
            <w:bookmarkStart w:id="24" w:name="_Toc18669"/>
            <w:bookmarkStart w:id="25" w:name="_Toc16004"/>
            <w:bookmarkStart w:id="26" w:name="_Toc30791"/>
            <w:bookmarkStart w:id="27" w:name="_Toc8364"/>
            <w:r>
              <w:rPr>
                <w:rFonts w:hint="eastAsia" w:ascii="仿宋" w:hAnsi="仿宋" w:eastAsia="仿宋" w:cs="仿宋"/>
                <w:color w:val="auto"/>
                <w:sz w:val="24"/>
                <w:szCs w:val="24"/>
                <w:highlight w:val="none"/>
              </w:rPr>
              <w:t>计量单位</w:t>
            </w:r>
            <w:bookmarkEnd w:id="23"/>
            <w:bookmarkEnd w:id="24"/>
            <w:bookmarkEnd w:id="25"/>
            <w:bookmarkEnd w:id="26"/>
            <w:bookmarkEnd w:id="27"/>
          </w:p>
        </w:tc>
        <w:tc>
          <w:tcPr>
            <w:tcW w:w="514" w:type="dxa"/>
            <w:vAlign w:val="center"/>
          </w:tcPr>
          <w:p>
            <w:pPr>
              <w:outlineLvl w:val="9"/>
              <w:rPr>
                <w:rFonts w:hint="eastAsia" w:ascii="仿宋" w:hAnsi="仿宋" w:eastAsia="仿宋" w:cs="仿宋"/>
                <w:color w:val="auto"/>
                <w:sz w:val="24"/>
                <w:szCs w:val="24"/>
                <w:highlight w:val="none"/>
              </w:rPr>
            </w:pPr>
            <w:bookmarkStart w:id="28" w:name="_Toc24569"/>
            <w:bookmarkStart w:id="29" w:name="_Toc609"/>
            <w:bookmarkStart w:id="30" w:name="_Toc19134"/>
            <w:bookmarkStart w:id="31" w:name="_Toc9231"/>
            <w:bookmarkStart w:id="32" w:name="_Toc29871"/>
            <w:r>
              <w:rPr>
                <w:rFonts w:hint="eastAsia" w:ascii="仿宋" w:hAnsi="仿宋" w:eastAsia="仿宋" w:cs="仿宋"/>
                <w:color w:val="auto"/>
                <w:sz w:val="24"/>
                <w:szCs w:val="24"/>
                <w:highlight w:val="none"/>
              </w:rPr>
              <w:t>数量</w:t>
            </w:r>
            <w:bookmarkEnd w:id="28"/>
            <w:bookmarkEnd w:id="29"/>
            <w:bookmarkEnd w:id="30"/>
            <w:bookmarkEnd w:id="31"/>
            <w:bookmarkEnd w:id="32"/>
          </w:p>
        </w:tc>
        <w:tc>
          <w:tcPr>
            <w:tcW w:w="1377" w:type="dxa"/>
            <w:vAlign w:val="center"/>
          </w:tcPr>
          <w:p>
            <w:pPr>
              <w:outlineLvl w:val="9"/>
              <w:rPr>
                <w:rFonts w:hint="eastAsia" w:ascii="仿宋" w:hAnsi="仿宋" w:eastAsia="仿宋" w:cs="仿宋"/>
                <w:color w:val="auto"/>
                <w:sz w:val="24"/>
                <w:szCs w:val="24"/>
                <w:highlight w:val="none"/>
              </w:rPr>
            </w:pPr>
            <w:bookmarkStart w:id="33" w:name="_Toc29589"/>
            <w:bookmarkStart w:id="34" w:name="_Toc5020"/>
            <w:bookmarkStart w:id="35" w:name="_Toc22269"/>
            <w:bookmarkStart w:id="36" w:name="_Toc1373"/>
            <w:bookmarkStart w:id="37" w:name="_Toc23932"/>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价（元）</w:t>
            </w:r>
            <w:bookmarkEnd w:id="33"/>
            <w:bookmarkEnd w:id="34"/>
            <w:bookmarkEnd w:id="35"/>
            <w:bookmarkEnd w:id="36"/>
            <w:bookmarkEnd w:id="37"/>
          </w:p>
        </w:tc>
        <w:tc>
          <w:tcPr>
            <w:tcW w:w="1386" w:type="dxa"/>
            <w:vAlign w:val="center"/>
          </w:tcPr>
          <w:p>
            <w:pPr>
              <w:ind w:left="236" w:hanging="235" w:hangingChars="98"/>
              <w:outlineLvl w:val="9"/>
              <w:rPr>
                <w:rFonts w:hint="eastAsia" w:ascii="仿宋" w:hAnsi="仿宋" w:eastAsia="仿宋" w:cs="仿宋"/>
                <w:color w:val="auto"/>
                <w:sz w:val="24"/>
                <w:szCs w:val="24"/>
                <w:highlight w:val="none"/>
              </w:rPr>
            </w:pPr>
            <w:bookmarkStart w:id="38" w:name="_Toc14510"/>
            <w:bookmarkStart w:id="39" w:name="_Toc17545"/>
            <w:bookmarkStart w:id="40" w:name="_Toc26062"/>
            <w:bookmarkStart w:id="41" w:name="_Toc23619"/>
            <w:bookmarkStart w:id="42" w:name="_Toc32579"/>
            <w:r>
              <w:rPr>
                <w:rFonts w:hint="eastAsia" w:ascii="仿宋" w:hAnsi="仿宋" w:eastAsia="仿宋" w:cs="仿宋"/>
                <w:color w:val="auto"/>
                <w:sz w:val="24"/>
                <w:szCs w:val="24"/>
                <w:highlight w:val="none"/>
              </w:rPr>
              <w:t>金额 (元)</w:t>
            </w:r>
            <w:bookmarkEnd w:id="38"/>
            <w:bookmarkEnd w:id="39"/>
            <w:bookmarkEnd w:id="40"/>
            <w:bookmarkEnd w:id="41"/>
            <w:bookmarkEnd w:id="4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377" w:type="dxa"/>
          </w:tcPr>
          <w:p>
            <w:pPr>
              <w:outlineLvl w:val="9"/>
              <w:rPr>
                <w:rFonts w:hint="eastAsia" w:ascii="仿宋" w:hAnsi="仿宋" w:eastAsia="仿宋" w:cs="仿宋"/>
                <w:color w:val="auto"/>
                <w:sz w:val="24"/>
                <w:szCs w:val="24"/>
                <w:highlight w:val="none"/>
              </w:rPr>
            </w:pPr>
          </w:p>
        </w:tc>
        <w:tc>
          <w:tcPr>
            <w:tcW w:w="1386"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377" w:type="dxa"/>
          </w:tcPr>
          <w:p>
            <w:pPr>
              <w:outlineLvl w:val="9"/>
              <w:rPr>
                <w:rFonts w:hint="eastAsia" w:ascii="仿宋" w:hAnsi="仿宋" w:eastAsia="仿宋" w:cs="仿宋"/>
                <w:color w:val="auto"/>
                <w:sz w:val="24"/>
                <w:szCs w:val="24"/>
                <w:highlight w:val="none"/>
              </w:rPr>
            </w:pPr>
          </w:p>
        </w:tc>
        <w:tc>
          <w:tcPr>
            <w:tcW w:w="1386"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pPr>
              <w:outlineLvl w:val="9"/>
              <w:rPr>
                <w:rFonts w:hint="eastAsia" w:ascii="仿宋" w:hAnsi="仿宋" w:eastAsia="仿宋" w:cs="仿宋"/>
                <w:color w:val="auto"/>
                <w:sz w:val="24"/>
                <w:szCs w:val="24"/>
                <w:highlight w:val="none"/>
              </w:rPr>
            </w:pPr>
          </w:p>
        </w:tc>
        <w:tc>
          <w:tcPr>
            <w:tcW w:w="1461" w:type="dxa"/>
          </w:tcPr>
          <w:p>
            <w:pPr>
              <w:outlineLvl w:val="9"/>
              <w:rPr>
                <w:rFonts w:hint="eastAsia" w:ascii="仿宋" w:hAnsi="仿宋" w:eastAsia="仿宋" w:cs="仿宋"/>
                <w:color w:val="auto"/>
                <w:sz w:val="24"/>
                <w:szCs w:val="24"/>
                <w:highlight w:val="none"/>
              </w:rPr>
            </w:pPr>
          </w:p>
        </w:tc>
        <w:tc>
          <w:tcPr>
            <w:tcW w:w="1623" w:type="dxa"/>
          </w:tcPr>
          <w:p>
            <w:pPr>
              <w:outlineLvl w:val="9"/>
              <w:rPr>
                <w:rFonts w:hint="eastAsia" w:ascii="仿宋" w:hAnsi="仿宋" w:eastAsia="仿宋" w:cs="仿宋"/>
                <w:color w:val="auto"/>
                <w:sz w:val="24"/>
                <w:szCs w:val="24"/>
                <w:highlight w:val="none"/>
              </w:rPr>
            </w:pPr>
          </w:p>
        </w:tc>
        <w:tc>
          <w:tcPr>
            <w:tcW w:w="832" w:type="dxa"/>
          </w:tcPr>
          <w:p>
            <w:pPr>
              <w:outlineLvl w:val="9"/>
              <w:rPr>
                <w:rFonts w:hint="eastAsia" w:ascii="仿宋" w:hAnsi="仿宋" w:eastAsia="仿宋" w:cs="仿宋"/>
                <w:color w:val="auto"/>
                <w:sz w:val="24"/>
                <w:szCs w:val="24"/>
                <w:highlight w:val="none"/>
              </w:rPr>
            </w:pPr>
          </w:p>
        </w:tc>
        <w:tc>
          <w:tcPr>
            <w:tcW w:w="822" w:type="dxa"/>
          </w:tcPr>
          <w:p>
            <w:pPr>
              <w:outlineLvl w:val="9"/>
              <w:rPr>
                <w:rFonts w:hint="eastAsia" w:ascii="仿宋" w:hAnsi="仿宋" w:eastAsia="仿宋" w:cs="仿宋"/>
                <w:color w:val="auto"/>
                <w:sz w:val="24"/>
                <w:szCs w:val="24"/>
                <w:highlight w:val="none"/>
              </w:rPr>
            </w:pPr>
          </w:p>
        </w:tc>
        <w:tc>
          <w:tcPr>
            <w:tcW w:w="514" w:type="dxa"/>
          </w:tcPr>
          <w:p>
            <w:pPr>
              <w:outlineLvl w:val="9"/>
              <w:rPr>
                <w:rFonts w:hint="eastAsia" w:ascii="仿宋" w:hAnsi="仿宋" w:eastAsia="仿宋" w:cs="仿宋"/>
                <w:color w:val="auto"/>
                <w:sz w:val="24"/>
                <w:szCs w:val="24"/>
                <w:highlight w:val="none"/>
              </w:rPr>
            </w:pPr>
          </w:p>
        </w:tc>
        <w:tc>
          <w:tcPr>
            <w:tcW w:w="1377" w:type="dxa"/>
          </w:tcPr>
          <w:p>
            <w:pPr>
              <w:outlineLvl w:val="9"/>
              <w:rPr>
                <w:rFonts w:hint="eastAsia" w:ascii="仿宋" w:hAnsi="仿宋" w:eastAsia="仿宋" w:cs="仿宋"/>
                <w:color w:val="auto"/>
                <w:sz w:val="24"/>
                <w:szCs w:val="24"/>
                <w:highlight w:val="none"/>
              </w:rPr>
            </w:pPr>
          </w:p>
        </w:tc>
        <w:tc>
          <w:tcPr>
            <w:tcW w:w="1386" w:type="dxa"/>
          </w:tcPr>
          <w:p>
            <w:pPr>
              <w:outlineLvl w:val="9"/>
              <w:rPr>
                <w:rFonts w:hint="eastAsia"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pPr>
              <w:outlineLvl w:val="9"/>
              <w:rPr>
                <w:rFonts w:hint="eastAsia" w:ascii="仿宋" w:hAnsi="仿宋" w:eastAsia="仿宋" w:cs="仿宋"/>
                <w:color w:val="auto"/>
                <w:sz w:val="24"/>
                <w:szCs w:val="24"/>
                <w:highlight w:val="none"/>
              </w:rPr>
            </w:pPr>
            <w:bookmarkStart w:id="43" w:name="_Toc10934"/>
            <w:bookmarkStart w:id="44" w:name="_Toc25107"/>
            <w:bookmarkStart w:id="45" w:name="_Toc16401"/>
            <w:bookmarkStart w:id="46" w:name="_Toc15703"/>
            <w:bookmarkStart w:id="47" w:name="_Toc18746"/>
            <w:r>
              <w:rPr>
                <w:rFonts w:hint="eastAsia" w:ascii="仿宋" w:hAnsi="仿宋" w:eastAsia="仿宋" w:cs="仿宋"/>
                <w:color w:val="auto"/>
                <w:sz w:val="24"/>
                <w:szCs w:val="24"/>
                <w:highlight w:val="none"/>
              </w:rPr>
              <w:t>合计</w:t>
            </w:r>
            <w:bookmarkEnd w:id="43"/>
            <w:bookmarkEnd w:id="44"/>
            <w:bookmarkEnd w:id="45"/>
            <w:bookmarkEnd w:id="46"/>
            <w:bookmarkEnd w:id="47"/>
          </w:p>
        </w:tc>
        <w:tc>
          <w:tcPr>
            <w:tcW w:w="4931" w:type="dxa"/>
            <w:gridSpan w:val="5"/>
          </w:tcPr>
          <w:p>
            <w:pPr>
              <w:outlineLvl w:val="9"/>
              <w:rPr>
                <w:rFonts w:hint="eastAsia" w:ascii="仿宋" w:hAnsi="仿宋" w:eastAsia="仿宋" w:cs="仿宋"/>
                <w:color w:val="auto"/>
                <w:sz w:val="24"/>
                <w:szCs w:val="24"/>
                <w:highlight w:val="none"/>
              </w:rPr>
            </w:pPr>
            <w:bookmarkStart w:id="48" w:name="_Toc31431"/>
            <w:bookmarkStart w:id="49" w:name="_Toc3316"/>
            <w:bookmarkStart w:id="50" w:name="_Toc10002"/>
            <w:bookmarkStart w:id="51" w:name="_Toc9771"/>
            <w:bookmarkStart w:id="52" w:name="_Toc18304"/>
            <w:r>
              <w:rPr>
                <w:rFonts w:hint="eastAsia" w:ascii="仿宋" w:hAnsi="仿宋" w:eastAsia="仿宋" w:cs="仿宋"/>
                <w:color w:val="auto"/>
                <w:sz w:val="24"/>
                <w:szCs w:val="24"/>
                <w:highlight w:val="none"/>
              </w:rPr>
              <w:t>¥</w:t>
            </w:r>
            <w:bookmarkEnd w:id="48"/>
            <w:bookmarkEnd w:id="49"/>
            <w:bookmarkEnd w:id="50"/>
            <w:bookmarkEnd w:id="51"/>
            <w:bookmarkEnd w:id="52"/>
          </w:p>
        </w:tc>
      </w:tr>
    </w:tbl>
    <w:p>
      <w:pPr>
        <w:pStyle w:val="6"/>
        <w:spacing w:line="360" w:lineRule="auto"/>
        <w:jc w:val="both"/>
        <w:rPr>
          <w:rFonts w:hint="eastAsia" w:ascii="仿宋" w:hAnsi="仿宋" w:eastAsia="仿宋" w:cs="仿宋"/>
          <w:color w:val="auto"/>
          <w:sz w:val="24"/>
          <w:szCs w:val="24"/>
          <w:highlight w:val="none"/>
        </w:rPr>
      </w:pPr>
      <w:bookmarkStart w:id="53" w:name="_Toc6586"/>
      <w:bookmarkStart w:id="54" w:name="_Toc14881"/>
      <w:bookmarkStart w:id="55" w:name="_Toc28512"/>
      <w:r>
        <w:rPr>
          <w:rFonts w:hint="eastAsia" w:ascii="仿宋" w:hAnsi="仿宋" w:eastAsia="仿宋" w:cs="仿宋"/>
          <w:color w:val="auto"/>
          <w:sz w:val="24"/>
          <w:szCs w:val="24"/>
          <w:highlight w:val="none"/>
        </w:rPr>
        <w:t>第二条 合同价款</w:t>
      </w:r>
      <w:bookmarkEnd w:id="53"/>
      <w:bookmarkEnd w:id="54"/>
      <w:bookmarkEnd w:id="55"/>
    </w:p>
    <w:p>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pPr>
        <w:spacing w:line="360" w:lineRule="auto"/>
        <w:ind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2.本合同总价是产品、</w:t>
      </w:r>
      <w:r>
        <w:rPr>
          <w:rFonts w:hint="eastAsia" w:ascii="仿宋" w:hAnsi="仿宋" w:eastAsia="仿宋" w:cs="仿宋"/>
          <w:b w:val="0"/>
          <w:color w:val="auto"/>
          <w:sz w:val="24"/>
          <w:szCs w:val="24"/>
          <w:highlight w:val="none"/>
          <w:lang w:val="en-US" w:eastAsia="zh-CN"/>
        </w:rPr>
        <w:t>辅材</w:t>
      </w:r>
      <w:r>
        <w:rPr>
          <w:rFonts w:hint="eastAsia" w:ascii="仿宋" w:hAnsi="仿宋" w:eastAsia="仿宋" w:cs="仿宋"/>
          <w:b w:val="0"/>
          <w:color w:val="auto"/>
          <w:sz w:val="24"/>
          <w:szCs w:val="24"/>
          <w:highlight w:val="none"/>
        </w:rPr>
        <w:t>、制造、包装、运输、安装、调试、检测、验收合格交付使用之前及保修期内保修服务与备用物件等其他有关各项的含税费用。</w:t>
      </w:r>
    </w:p>
    <w:p>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pPr>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Start w:id="56" w:name="_Toc31924"/>
    </w:p>
    <w:p>
      <w:pPr>
        <w:pStyle w:val="6"/>
        <w:spacing w:line="360" w:lineRule="auto"/>
        <w:jc w:val="both"/>
        <w:rPr>
          <w:rFonts w:hint="default" w:ascii="仿宋" w:hAnsi="仿宋" w:eastAsia="仿宋" w:cs="仿宋"/>
          <w:color w:val="auto"/>
          <w:sz w:val="24"/>
          <w:szCs w:val="24"/>
          <w:highlight w:val="none"/>
          <w:lang w:val="en-US" w:eastAsia="zh-CN"/>
        </w:rPr>
      </w:pPr>
      <w:bookmarkStart w:id="57" w:name="_Toc2721"/>
      <w:bookmarkStart w:id="58" w:name="_Toc14426"/>
      <w:r>
        <w:rPr>
          <w:rFonts w:hint="eastAsia" w:ascii="仿宋" w:hAnsi="仿宋" w:eastAsia="仿宋" w:cs="仿宋"/>
          <w:color w:val="auto"/>
          <w:sz w:val="24"/>
          <w:szCs w:val="24"/>
          <w:highlight w:val="none"/>
        </w:rPr>
        <w:t xml:space="preserve">第三条 </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支付</w:t>
      </w:r>
      <w:bookmarkEnd w:id="56"/>
      <w:bookmarkEnd w:id="57"/>
      <w:bookmarkEnd w:id="58"/>
    </w:p>
    <w:p>
      <w:pPr>
        <w:pStyle w:val="13"/>
        <w:numPr>
          <w:ilvl w:val="0"/>
          <w:numId w:val="0"/>
        </w:numPr>
        <w:spacing w:line="360" w:lineRule="auto"/>
        <w:ind w:firstLine="480" w:firstLineChars="200"/>
        <w:outlineLvl w:val="1"/>
        <w:rPr>
          <w:rFonts w:hint="eastAsia" w:ascii="仿宋" w:hAnsi="仿宋" w:eastAsia="仿宋" w:cs="仿宋"/>
          <w:b/>
          <w:color w:val="auto"/>
          <w:highlight w:val="none"/>
          <w:lang w:val="en-US" w:eastAsia="zh-CN"/>
        </w:rPr>
      </w:pPr>
      <w:bookmarkStart w:id="59" w:name="_Toc7450"/>
      <w:bookmarkStart w:id="60" w:name="_Toc7176"/>
      <w:bookmarkStart w:id="61" w:name="_Toc24977"/>
      <w:r>
        <w:rPr>
          <w:rFonts w:hint="eastAsia" w:ascii="仿宋" w:hAnsi="仿宋" w:eastAsia="仿宋" w:cs="仿宋"/>
          <w:color w:val="auto"/>
          <w:sz w:val="24"/>
          <w:szCs w:val="24"/>
          <w:highlight w:val="none"/>
        </w:rPr>
        <w:t>产品验收合格 ，达到付款条件起 10 日内，支付合同总金额的 100.00%。。</w:t>
      </w:r>
    </w:p>
    <w:p>
      <w:pPr>
        <w:pStyle w:val="6"/>
        <w:spacing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第四条 </w:t>
      </w:r>
      <w:r>
        <w:rPr>
          <w:rFonts w:hint="eastAsia" w:ascii="仿宋" w:hAnsi="仿宋" w:eastAsia="仿宋" w:cs="仿宋"/>
          <w:color w:val="auto"/>
          <w:sz w:val="24"/>
          <w:szCs w:val="24"/>
          <w:highlight w:val="none"/>
        </w:rPr>
        <w:t>交</w:t>
      </w:r>
      <w:r>
        <w:rPr>
          <w:rFonts w:hint="eastAsia" w:ascii="仿宋" w:hAnsi="仿宋" w:eastAsia="仿宋" w:cs="仿宋"/>
          <w:color w:val="auto"/>
          <w:sz w:val="24"/>
          <w:szCs w:val="24"/>
          <w:highlight w:val="none"/>
          <w:lang w:val="en-US" w:eastAsia="zh-CN"/>
        </w:rPr>
        <w:t>货期限</w:t>
      </w:r>
      <w:bookmarkEnd w:id="59"/>
      <w:bookmarkEnd w:id="60"/>
      <w:bookmarkEnd w:id="61"/>
    </w:p>
    <w:p>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1"/>
        <w:rPr>
          <w:rFonts w:hint="default" w:ascii="仿宋" w:hAnsi="仿宋" w:eastAsia="仿宋" w:cs="仿宋"/>
          <w:b w:val="0"/>
          <w:bCs/>
          <w:color w:val="auto"/>
          <w:highlight w:val="yellow"/>
          <w:u w:val="none"/>
          <w:lang w:val="en-US" w:eastAsia="zh-CN"/>
        </w:rPr>
      </w:pPr>
      <w:bookmarkStart w:id="87" w:name="_GoBack"/>
      <w:bookmarkStart w:id="62" w:name="OLE_LINK1"/>
      <w:r>
        <w:rPr>
          <w:rFonts w:hint="default" w:ascii="仿宋" w:hAnsi="仿宋" w:eastAsia="仿宋" w:cs="仿宋"/>
          <w:b w:val="0"/>
          <w:bCs/>
          <w:color w:val="auto"/>
          <w:highlight w:val="none"/>
          <w:u w:val="none"/>
          <w:lang w:val="en-US" w:eastAsia="zh-CN"/>
        </w:rPr>
        <w:t>自合同签订之日起30天</w:t>
      </w:r>
      <w:bookmarkEnd w:id="87"/>
    </w:p>
    <w:bookmarkEnd w:id="62"/>
    <w:p>
      <w:pPr>
        <w:pStyle w:val="6"/>
        <w:spacing w:line="360" w:lineRule="auto"/>
        <w:jc w:val="both"/>
        <w:rPr>
          <w:rFonts w:hint="default" w:ascii="仿宋" w:hAnsi="仿宋" w:eastAsia="仿宋" w:cs="仿宋"/>
          <w:color w:val="auto"/>
          <w:sz w:val="24"/>
          <w:szCs w:val="24"/>
          <w:highlight w:val="none"/>
          <w:lang w:val="en-US" w:eastAsia="zh-CN"/>
        </w:rPr>
      </w:pPr>
      <w:bookmarkStart w:id="63" w:name="_Toc8595"/>
      <w:r>
        <w:rPr>
          <w:rFonts w:hint="eastAsia" w:ascii="仿宋" w:hAnsi="仿宋" w:eastAsia="仿宋" w:cs="仿宋"/>
          <w:color w:val="auto"/>
          <w:sz w:val="24"/>
          <w:szCs w:val="24"/>
          <w:highlight w:val="none"/>
          <w:lang w:val="en-US" w:eastAsia="zh-CN"/>
        </w:rPr>
        <w:t xml:space="preserve"> </w:t>
      </w:r>
      <w:bookmarkStart w:id="64" w:name="_Toc2774"/>
      <w:bookmarkStart w:id="65" w:name="_Toc18347"/>
      <w:r>
        <w:rPr>
          <w:rFonts w:hint="eastAsia" w:ascii="仿宋" w:hAnsi="仿宋" w:eastAsia="仿宋" w:cs="仿宋"/>
          <w:color w:val="auto"/>
          <w:sz w:val="24"/>
          <w:szCs w:val="24"/>
          <w:highlight w:val="none"/>
          <w:lang w:val="en-US" w:eastAsia="zh-CN"/>
        </w:rPr>
        <w:t>第五条 质</w:t>
      </w:r>
      <w:bookmarkEnd w:id="63"/>
      <w:r>
        <w:rPr>
          <w:rFonts w:hint="eastAsia" w:ascii="仿宋" w:hAnsi="仿宋" w:eastAsia="仿宋" w:cs="仿宋"/>
          <w:color w:val="auto"/>
          <w:sz w:val="24"/>
          <w:szCs w:val="24"/>
          <w:highlight w:val="none"/>
          <w:lang w:val="en-US" w:eastAsia="zh-CN"/>
        </w:rPr>
        <w:t>保</w:t>
      </w:r>
      <w:bookmarkEnd w:id="64"/>
      <w:bookmarkEnd w:id="65"/>
      <w:r>
        <w:rPr>
          <w:rFonts w:hint="eastAsia" w:ascii="仿宋" w:hAnsi="仿宋" w:eastAsia="仿宋" w:cs="仿宋"/>
          <w:color w:val="auto"/>
          <w:sz w:val="24"/>
          <w:szCs w:val="24"/>
          <w:highlight w:val="none"/>
          <w:lang w:val="en-US" w:eastAsia="zh-CN"/>
        </w:rPr>
        <w:t>保证</w:t>
      </w:r>
    </w:p>
    <w:p>
      <w:pPr>
        <w:pStyle w:val="9"/>
        <w:spacing w:line="360" w:lineRule="auto"/>
        <w:ind w:firstLine="480" w:firstLineChars="200"/>
        <w:rPr>
          <w:rFonts w:ascii="仿宋" w:hAnsi="仿宋" w:eastAsia="仿宋" w:cs="仿宋"/>
          <w:sz w:val="24"/>
        </w:rPr>
      </w:pPr>
      <w:bookmarkStart w:id="66" w:name="_Toc23635"/>
      <w:bookmarkStart w:id="67" w:name="_Toc26000"/>
      <w:bookmarkStart w:id="68" w:name="_Toc5147"/>
      <w:r>
        <w:rPr>
          <w:rFonts w:hint="eastAsia" w:ascii="仿宋" w:hAnsi="仿宋" w:eastAsia="仿宋" w:cs="仿宋"/>
          <w:sz w:val="24"/>
          <w:lang w:val="en-US" w:eastAsia="zh-CN"/>
        </w:rPr>
        <w:t>1.</w:t>
      </w:r>
      <w:r>
        <w:rPr>
          <w:rFonts w:hint="eastAsia" w:ascii="仿宋" w:hAnsi="仿宋" w:eastAsia="仿宋" w:cs="仿宋"/>
          <w:sz w:val="24"/>
        </w:rPr>
        <w:t>乙方提供的设备及配套产品，必须</w:t>
      </w:r>
      <w:r>
        <w:rPr>
          <w:rFonts w:hint="eastAsia" w:ascii="仿宋" w:hAnsi="仿宋" w:eastAsia="仿宋" w:cs="仿宋"/>
          <w:sz w:val="24"/>
          <w:lang w:val="en-US" w:eastAsia="zh-CN"/>
        </w:rPr>
        <w:t>按照我国现使用的标准</w:t>
      </w:r>
      <w:r>
        <w:rPr>
          <w:rFonts w:hint="eastAsia" w:ascii="仿宋" w:hAnsi="仿宋" w:eastAsia="仿宋" w:cs="仿宋"/>
          <w:sz w:val="24"/>
        </w:rPr>
        <w:t>制造</w:t>
      </w:r>
      <w:r>
        <w:rPr>
          <w:rFonts w:hint="eastAsia" w:ascii="仿宋" w:hAnsi="仿宋" w:eastAsia="仿宋" w:cs="仿宋"/>
          <w:sz w:val="24"/>
          <w:lang w:eastAsia="zh-CN"/>
        </w:rPr>
        <w:t>，</w:t>
      </w:r>
      <w:r>
        <w:rPr>
          <w:rFonts w:hint="eastAsia" w:ascii="仿宋" w:hAnsi="仿宋" w:eastAsia="仿宋" w:cs="仿宋"/>
          <w:sz w:val="24"/>
          <w:lang w:val="en-US" w:eastAsia="zh-CN"/>
        </w:rPr>
        <w:t>必须是合格</w:t>
      </w:r>
      <w:r>
        <w:rPr>
          <w:rFonts w:hint="eastAsia" w:ascii="仿宋" w:hAnsi="仿宋" w:eastAsia="仿宋" w:cs="仿宋"/>
          <w:sz w:val="24"/>
        </w:rPr>
        <w:t>、全新、未曾使用的产品，产品内部无损坏，外表无磨损，内部包装无破损。整套产品必须通过由国家技术监督部门授权的计量检定单位的检定，并附有检定使用合格证书。</w:t>
      </w:r>
    </w:p>
    <w:p>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乙方提供的设备及配套产品必须等同于或优于合同技术指标要求，并能按国家标准供应、检测、调试，确保产品技术指标满足使用要求。</w:t>
      </w:r>
    </w:p>
    <w:p>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乙方须保证所提供的设备经正确安装、正常运转和保养，在其使用寿命期内须具有符合质量要求和产品说明书的性能。在产品质量保证期之内，乙方须对由于设计、工艺或材料的缺陷而发生的任何不足或故障负责，并免费予以改进或更换。</w:t>
      </w:r>
    </w:p>
    <w:p>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乙方在收到通知后虽答复，但没有弥补缺陷，甲方可采取必要的补救措施，但由此引发的风险和费用将由乙方承担。甲方根据合同规定对乙方行使的其他权力不受影响。</w:t>
      </w:r>
    </w:p>
    <w:p>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w:t>
      </w:r>
      <w:r>
        <w:rPr>
          <w:rFonts w:hint="eastAsia" w:ascii="仿宋" w:hAnsi="仿宋" w:eastAsia="仿宋" w:cs="仿宋"/>
          <w:sz w:val="24"/>
        </w:rPr>
        <w:t xml:space="preserve">质保期：1年。 </w:t>
      </w: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w:t>
      </w:r>
      <w:r>
        <w:rPr>
          <w:rFonts w:hint="eastAsia" w:ascii="仿宋" w:hAnsi="仿宋" w:eastAsia="仿宋" w:cs="仿宋"/>
          <w:sz w:val="24"/>
        </w:rPr>
        <w:t>质保期起始时间为交付之日。</w:t>
      </w: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w:t>
      </w:r>
      <w:r>
        <w:rPr>
          <w:rFonts w:hint="eastAsia" w:ascii="仿宋" w:hAnsi="仿宋" w:eastAsia="仿宋" w:cs="仿宋"/>
          <w:sz w:val="24"/>
        </w:rPr>
        <w:t xml:space="preserve">所有产品质量必须符合现行的国家标准或国家行政部门颁布的法律法规、规章制度等。没有国家标准的，可以参考行业标准。所有设备及辅材必须是未使用过的新产品，质量优良、渠道正当，配置合理。 </w:t>
      </w:r>
      <w:r>
        <w:rPr>
          <w:rFonts w:hint="eastAsia" w:ascii="仿宋" w:hAnsi="仿宋" w:eastAsia="仿宋" w:cs="仿宋"/>
          <w:sz w:val="24"/>
          <w:lang w:eastAsia="zh-CN"/>
        </w:rPr>
        <w:t>（</w:t>
      </w:r>
      <w:r>
        <w:rPr>
          <w:rFonts w:hint="eastAsia" w:ascii="仿宋" w:hAnsi="仿宋" w:eastAsia="仿宋" w:cs="仿宋"/>
          <w:sz w:val="24"/>
          <w:lang w:val="en-US" w:eastAsia="zh-CN"/>
        </w:rPr>
        <w:t>4</w:t>
      </w:r>
      <w:r>
        <w:rPr>
          <w:rFonts w:hint="eastAsia" w:ascii="仿宋" w:hAnsi="仿宋" w:eastAsia="仿宋" w:cs="仿宋"/>
          <w:sz w:val="24"/>
          <w:lang w:eastAsia="zh-CN"/>
        </w:rPr>
        <w:t>）</w:t>
      </w:r>
      <w:r>
        <w:rPr>
          <w:rFonts w:hint="eastAsia" w:ascii="仿宋" w:hAnsi="仿宋" w:eastAsia="仿宋" w:cs="仿宋"/>
          <w:sz w:val="24"/>
        </w:rPr>
        <w:t>质保期出现的质量问题由中标人负责解决并承担所有费用。质保期后如需更换零部件，中标人应以优惠价提供。</w:t>
      </w:r>
    </w:p>
    <w:p>
      <w:pPr>
        <w:pStyle w:val="13"/>
        <w:spacing w:line="360" w:lineRule="auto"/>
        <w:outlineLvl w:val="1"/>
        <w:rPr>
          <w:rFonts w:hint="eastAsia" w:ascii="仿宋" w:hAnsi="仿宋" w:eastAsia="仿宋" w:cs="仿宋"/>
          <w:b/>
          <w:color w:val="auto"/>
          <w:highlight w:val="none"/>
        </w:rPr>
      </w:pPr>
      <w:r>
        <w:rPr>
          <w:rFonts w:hint="eastAsia" w:ascii="仿宋" w:hAnsi="仿宋" w:eastAsia="仿宋" w:cs="仿宋"/>
          <w:b/>
          <w:color w:val="auto"/>
          <w:highlight w:val="none"/>
        </w:rPr>
        <w:t>第六条 权利保证</w:t>
      </w:r>
      <w:bookmarkEnd w:id="66"/>
      <w:bookmarkEnd w:id="67"/>
      <w:bookmarkEnd w:id="68"/>
    </w:p>
    <w:p>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1.乙方保证对其出售的货物享有合法的权利。</w:t>
      </w:r>
    </w:p>
    <w:p>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2.乙方保证对其出售的货物上不存在任何未曾向甲方透露的担保物权，如抵押权、质押权、留置权。</w:t>
      </w:r>
    </w:p>
    <w:p>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3.乙方保证对其出售的货物或其任何一部分没有侵犯第三方的专利权、版权、商标权或其他权利。</w:t>
      </w:r>
    </w:p>
    <w:p>
      <w:pPr>
        <w:pStyle w:val="13"/>
        <w:spacing w:line="360" w:lineRule="auto"/>
        <w:ind w:firstLine="480" w:firstLineChars="200"/>
        <w:rPr>
          <w:rFonts w:hint="eastAsia" w:ascii="仿宋" w:hAnsi="仿宋" w:eastAsia="仿宋" w:cs="仿宋"/>
          <w:b/>
          <w:color w:val="auto"/>
          <w:highlight w:val="none"/>
        </w:rPr>
      </w:pPr>
      <w:r>
        <w:rPr>
          <w:rFonts w:hint="eastAsia" w:ascii="仿宋" w:hAnsi="仿宋" w:eastAsia="仿宋" w:cs="仿宋"/>
          <w:color w:val="auto"/>
          <w:highlight w:val="none"/>
        </w:rPr>
        <w:t>4.如甲方在使用该货物构成上述侵权的，则由乙方承担全部责任。</w:t>
      </w:r>
    </w:p>
    <w:p>
      <w:pPr>
        <w:pStyle w:val="13"/>
        <w:spacing w:line="360" w:lineRule="auto"/>
        <w:outlineLvl w:val="1"/>
        <w:rPr>
          <w:rFonts w:hint="default" w:ascii="仿宋" w:hAnsi="仿宋" w:eastAsia="仿宋" w:cs="仿宋"/>
          <w:b/>
          <w:color w:val="auto"/>
          <w:highlight w:val="none"/>
          <w:lang w:val="en-US" w:eastAsia="zh-CN"/>
        </w:rPr>
      </w:pPr>
      <w:bookmarkStart w:id="69" w:name="_Toc31505"/>
      <w:bookmarkStart w:id="70" w:name="_Toc31476"/>
      <w:bookmarkStart w:id="71" w:name="_Toc18410"/>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七</w:t>
      </w:r>
      <w:r>
        <w:rPr>
          <w:rFonts w:hint="eastAsia" w:ascii="仿宋" w:hAnsi="仿宋" w:eastAsia="仿宋" w:cs="仿宋"/>
          <w:b/>
          <w:color w:val="auto"/>
          <w:highlight w:val="none"/>
        </w:rPr>
        <w:t>条 售后服务</w:t>
      </w:r>
      <w:bookmarkEnd w:id="69"/>
      <w:bookmarkEnd w:id="70"/>
      <w:bookmarkEnd w:id="71"/>
      <w:r>
        <w:rPr>
          <w:rFonts w:hint="eastAsia" w:ascii="仿宋" w:hAnsi="仿宋" w:eastAsia="仿宋" w:cs="仿宋"/>
          <w:b/>
          <w:color w:val="auto"/>
          <w:highlight w:val="none"/>
          <w:lang w:val="en-US" w:eastAsia="zh-CN"/>
        </w:rPr>
        <w:t>及培训</w:t>
      </w:r>
    </w:p>
    <w:p>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1.</w:t>
      </w:r>
      <w:r>
        <w:rPr>
          <w:rFonts w:hint="eastAsia" w:ascii="仿宋" w:hAnsi="仿宋" w:eastAsia="仿宋" w:cs="仿宋"/>
          <w:color w:val="auto"/>
          <w:kern w:val="0"/>
          <w:highlight w:val="none"/>
        </w:rPr>
        <w:t>乙方应按照国家有关法律法规以及招标文件要求和投标文件的</w:t>
      </w:r>
      <w:r>
        <w:rPr>
          <w:rFonts w:hint="eastAsia" w:ascii="仿宋" w:hAnsi="仿宋" w:eastAsia="仿宋" w:cs="仿宋"/>
          <w:color w:val="auto"/>
          <w:kern w:val="0"/>
          <w:highlight w:val="none"/>
          <w:lang w:val="en-US" w:eastAsia="zh-CN"/>
        </w:rPr>
        <w:t>售后方案</w:t>
      </w:r>
      <w:r>
        <w:rPr>
          <w:rFonts w:hint="eastAsia" w:ascii="仿宋" w:hAnsi="仿宋" w:eastAsia="仿宋" w:cs="仿宋"/>
          <w:color w:val="auto"/>
          <w:kern w:val="0"/>
          <w:highlight w:val="none"/>
        </w:rPr>
        <w:t>提供服务。</w:t>
      </w:r>
    </w:p>
    <w:p>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2.</w:t>
      </w:r>
      <w:r>
        <w:rPr>
          <w:rFonts w:hint="eastAsia" w:ascii="仿宋" w:hAnsi="仿宋" w:eastAsia="仿宋" w:cs="仿宋"/>
          <w:color w:val="auto"/>
          <w:kern w:val="0"/>
          <w:highlight w:val="none"/>
        </w:rPr>
        <w:t>乙方负责提供仪器设备相应的技术资料，包括产品合格证、产品保修单、安装使用及维护说明书以及运输装箱清单等,并对所有技术材料的真实性、准确性、先进性、完整性负责。</w:t>
      </w:r>
    </w:p>
    <w:p>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3.</w:t>
      </w:r>
      <w:r>
        <w:rPr>
          <w:rFonts w:hint="eastAsia" w:ascii="仿宋" w:hAnsi="仿宋" w:eastAsia="仿宋" w:cs="仿宋"/>
          <w:color w:val="auto"/>
          <w:kern w:val="0"/>
          <w:highlight w:val="none"/>
        </w:rPr>
        <w:t>人员培训：乙方终身免费为甲方培训设备使用人员，培训内容包括：设备操作、维护、简单维修等。</w:t>
      </w:r>
    </w:p>
    <w:p>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4.</w:t>
      </w:r>
      <w:r>
        <w:rPr>
          <w:rFonts w:hint="eastAsia" w:ascii="仿宋" w:hAnsi="仿宋" w:eastAsia="仿宋" w:cs="仿宋"/>
          <w:color w:val="auto"/>
          <w:kern w:val="0"/>
          <w:highlight w:val="none"/>
        </w:rPr>
        <w:t>售后服务：质保期内乙方对甲方提出的服务响应不得超出</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小时。</w:t>
      </w:r>
    </w:p>
    <w:p>
      <w:pPr>
        <w:pStyle w:val="13"/>
        <w:spacing w:line="360" w:lineRule="auto"/>
        <w:outlineLvl w:val="1"/>
        <w:rPr>
          <w:rFonts w:hint="eastAsia" w:ascii="仿宋" w:hAnsi="仿宋" w:eastAsia="仿宋" w:cs="仿宋"/>
          <w:b/>
          <w:color w:val="auto"/>
          <w:highlight w:val="none"/>
        </w:rPr>
      </w:pPr>
      <w:bookmarkStart w:id="72" w:name="_Toc3919"/>
      <w:bookmarkStart w:id="73" w:name="_Toc28698"/>
      <w:bookmarkStart w:id="74" w:name="_Toc3711"/>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八</w:t>
      </w:r>
      <w:r>
        <w:rPr>
          <w:rFonts w:hint="eastAsia" w:ascii="仿宋" w:hAnsi="仿宋" w:eastAsia="仿宋" w:cs="仿宋"/>
          <w:b/>
          <w:color w:val="auto"/>
          <w:highlight w:val="none"/>
        </w:rPr>
        <w:t>条 违约责任</w:t>
      </w:r>
      <w:bookmarkEnd w:id="72"/>
      <w:bookmarkEnd w:id="73"/>
      <w:bookmarkEnd w:id="74"/>
    </w:p>
    <w:p>
      <w:pPr>
        <w:pStyle w:val="13"/>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1.甲方违约责任</w:t>
      </w:r>
    </w:p>
    <w:p>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（1）甲方无正当理由拒收货物的，甲方应偿付合同总价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w:t>
      </w:r>
    </w:p>
    <w:p>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（2）甲方逾期支付货款的，除应及时付足货款外，应向乙方每天支付欠款总额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的滞纳金；但累计滞纳金总额不超过欠款总额的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pPr>
        <w:pStyle w:val="13"/>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2.乙方违约责任</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（1）如乙方不能交付货物，同时乙方应向甲方支付合同总价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（2）乙方逾期交付货物的，每逾期1天，乙方向甲方偿付逾期交付部分货款总额的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rPr>
        <w:t>的滞纳金。如乙方逾期交付达</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天，甲方有权解除合同，解除合同的通知自到达乙方时生效，乙方应向甲方支付合同总价的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%违约金，违约金不足以弥补甲方损失的，由乙方另行支付；</w:t>
      </w:r>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（3）乙方所交付的货物品种、型号、规格不符合合同规定的，甲方有权拒收。甲方拒收的，乙方应向甲方支付货款总额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%的违约金，并按甲方要求予以免费更换；</w:t>
      </w:r>
    </w:p>
    <w:p>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（4）乙方货物经甲方送交具有法定资格条件的质量技术监督机构检测后，如检测结果认定货物质量不符合本合同规定标准的，则视为乙方没有按时交付而违约，乙方须在</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天内无条件更换合格的货物，如逾期不能更换合格的货物，甲方有权解除本合同，合同自书面解除通知到达乙方之日起解除，乙方应另向甲方支付货款总额的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%的违约金，违约金不足以弥补甲方损失的，由乙方另行支付；</w:t>
      </w:r>
    </w:p>
    <w:p>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（6）乙方未按本合同的规定和</w:t>
      </w:r>
      <w:r>
        <w:rPr>
          <w:rFonts w:hint="eastAsia" w:ascii="仿宋" w:hAnsi="仿宋" w:eastAsia="仿宋" w:cs="仿宋"/>
          <w:color w:val="auto"/>
          <w:kern w:val="0"/>
          <w:highlight w:val="none"/>
          <w:lang w:val="en-US" w:eastAsia="zh-CN"/>
        </w:rPr>
        <w:t>售后服务方案</w:t>
      </w:r>
      <w:r>
        <w:rPr>
          <w:rFonts w:hint="eastAsia" w:ascii="仿宋" w:hAnsi="仿宋" w:eastAsia="仿宋" w:cs="仿宋"/>
          <w:color w:val="auto"/>
          <w:kern w:val="0"/>
          <w:highlight w:val="none"/>
        </w:rPr>
        <w:t>提供伴随服务/售后服务的，应按合同总价款的</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rPr>
        <w:t>%向甲方承担违约责任；</w:t>
      </w:r>
    </w:p>
    <w:p>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（8）乙方偿付的违约金不足以弥补甲方损失的，还应按甲方损失尚未弥补的部分，支付赔偿金给甲方。</w:t>
      </w:r>
    </w:p>
    <w:p>
      <w:pPr>
        <w:widowControl/>
        <w:spacing w:line="360" w:lineRule="auto"/>
        <w:jc w:val="left"/>
        <w:outlineLvl w:val="1"/>
        <w:rPr>
          <w:rFonts w:hint="eastAsia" w:ascii="仿宋" w:hAnsi="仿宋" w:eastAsia="仿宋" w:cs="仿宋"/>
          <w:color w:val="auto"/>
          <w:kern w:val="0"/>
          <w:sz w:val="24"/>
          <w:szCs w:val="24"/>
          <w:highlight w:val="none"/>
        </w:rPr>
      </w:pPr>
      <w:bookmarkStart w:id="75" w:name="_Toc17126"/>
      <w:bookmarkStart w:id="76" w:name="_Toc27557"/>
      <w:bookmarkStart w:id="77" w:name="_Toc13805"/>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bookmarkEnd w:id="75"/>
      <w:bookmarkEnd w:id="76"/>
      <w:bookmarkEnd w:id="77"/>
    </w:p>
    <w:p>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pPr>
        <w:widowControl/>
        <w:spacing w:line="360" w:lineRule="auto"/>
        <w:jc w:val="left"/>
        <w:outlineLvl w:val="1"/>
        <w:rPr>
          <w:rFonts w:hint="eastAsia" w:ascii="仿宋" w:hAnsi="仿宋" w:eastAsia="仿宋" w:cs="仿宋"/>
          <w:b/>
          <w:color w:val="auto"/>
          <w:kern w:val="0"/>
          <w:sz w:val="24"/>
          <w:szCs w:val="24"/>
          <w:highlight w:val="none"/>
        </w:rPr>
      </w:pPr>
      <w:bookmarkStart w:id="78" w:name="_Toc29986"/>
      <w:bookmarkStart w:id="79" w:name="_Toc16869"/>
      <w:bookmarkStart w:id="80" w:name="_Toc13338"/>
      <w:r>
        <w:rPr>
          <w:rFonts w:hint="eastAsia" w:ascii="仿宋" w:hAnsi="仿宋" w:eastAsia="仿宋" w:cs="仿宋"/>
          <w:b/>
          <w:color w:val="auto"/>
          <w:kern w:val="0"/>
          <w:sz w:val="24"/>
          <w:szCs w:val="24"/>
          <w:highlight w:val="none"/>
        </w:rPr>
        <w:t>第十条 争议的解决</w:t>
      </w:r>
      <w:bookmarkEnd w:id="78"/>
      <w:bookmarkEnd w:id="79"/>
      <w:bookmarkEnd w:id="80"/>
    </w:p>
    <w:p>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1.因货物的质量问题发生争议，由质量技术监督部门或其指定的质量鉴定机构进行质量鉴定。货物符合标准的，鉴定费由甲方承担；货物不符合质量标准的，鉴定费由乙方承担。</w:t>
      </w:r>
    </w:p>
    <w:p>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种方式解决争议：</w:t>
      </w:r>
    </w:p>
    <w:p>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（1）向甲方所在地有管辖权的人民法院提起诉讼；</w:t>
      </w:r>
    </w:p>
    <w:p>
      <w:pPr>
        <w:pStyle w:val="13"/>
        <w:spacing w:line="360" w:lineRule="auto"/>
        <w:ind w:firstLine="480" w:firstLineChars="200"/>
        <w:rPr>
          <w:rFonts w:hint="eastAsia" w:ascii="仿宋" w:hAnsi="仿宋" w:eastAsia="仿宋" w:cs="仿宋"/>
          <w:color w:val="auto"/>
          <w:kern w:val="0"/>
          <w:highlight w:val="none"/>
          <w:lang w:eastAsia="zh-CN"/>
        </w:rPr>
      </w:pPr>
      <w:r>
        <w:rPr>
          <w:rFonts w:hint="eastAsia" w:ascii="仿宋" w:hAnsi="仿宋" w:eastAsia="仿宋" w:cs="仿宋"/>
          <w:color w:val="auto"/>
          <w:kern w:val="0"/>
          <w:highlight w:val="none"/>
        </w:rPr>
        <w:t>（2）向</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仲裁委员会按其仲裁规则申请仲裁</w:t>
      </w:r>
      <w:r>
        <w:rPr>
          <w:rFonts w:hint="eastAsia" w:ascii="仿宋" w:hAnsi="仿宋" w:eastAsia="仿宋" w:cs="仿宋"/>
          <w:color w:val="auto"/>
          <w:kern w:val="0"/>
          <w:highlight w:val="none"/>
          <w:lang w:eastAsia="zh-CN"/>
        </w:rPr>
        <w:t>；</w:t>
      </w:r>
    </w:p>
    <w:p>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3.在诉讼期间，本合同应继续履行。</w:t>
      </w:r>
    </w:p>
    <w:p>
      <w:pPr>
        <w:snapToGrid w:val="0"/>
        <w:spacing w:line="360" w:lineRule="auto"/>
        <w:textAlignment w:val="baseline"/>
        <w:outlineLvl w:val="1"/>
        <w:rPr>
          <w:rFonts w:hint="eastAsia" w:ascii="仿宋" w:hAnsi="仿宋" w:eastAsia="仿宋" w:cs="仿宋"/>
          <w:b/>
          <w:color w:val="auto"/>
          <w:sz w:val="24"/>
          <w:szCs w:val="24"/>
          <w:highlight w:val="none"/>
        </w:rPr>
      </w:pPr>
      <w:bookmarkStart w:id="81" w:name="_Toc6911"/>
      <w:bookmarkStart w:id="82" w:name="_Toc24039"/>
      <w:bookmarkStart w:id="83" w:name="_Toc26051"/>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bookmarkEnd w:id="81"/>
      <w:bookmarkEnd w:id="82"/>
      <w:bookmarkEnd w:id="83"/>
    </w:p>
    <w:p>
      <w:pPr>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2.中标通知书</w:t>
      </w:r>
      <w:r>
        <w:rPr>
          <w:rFonts w:hint="eastAsia" w:ascii="仿宋" w:hAnsi="仿宋" w:eastAsia="仿宋" w:cs="仿宋"/>
          <w:color w:val="auto"/>
          <w:sz w:val="24"/>
          <w:szCs w:val="24"/>
          <w:highlight w:val="none"/>
        </w:rPr>
        <w:tab/>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4.招标文件(含澄清或者修改文件)</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5.投标文件</w:t>
      </w:r>
    </w:p>
    <w:p>
      <w:pPr>
        <w:snapToGrid w:val="0"/>
        <w:spacing w:line="360" w:lineRule="auto"/>
        <w:outlineLvl w:val="1"/>
        <w:rPr>
          <w:rFonts w:hint="eastAsia" w:ascii="仿宋" w:hAnsi="仿宋" w:eastAsia="仿宋" w:cs="仿宋"/>
          <w:b/>
          <w:color w:val="auto"/>
          <w:kern w:val="0"/>
          <w:sz w:val="24"/>
          <w:szCs w:val="24"/>
          <w:highlight w:val="none"/>
        </w:rPr>
      </w:pPr>
      <w:bookmarkStart w:id="84" w:name="_Toc32342"/>
      <w:bookmarkStart w:id="85" w:name="_Toc1382"/>
      <w:bookmarkStart w:id="86" w:name="_Toc13842"/>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bookmarkEnd w:id="84"/>
      <w:bookmarkEnd w:id="85"/>
      <w:bookmarkEnd w:id="86"/>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如有未尽事宜，由双方依法订立补充合同，补充合同与本合同效力一致。</w:t>
      </w:r>
    </w:p>
    <w:p>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2.本合同自双方签字、盖章之日起生效。</w:t>
      </w:r>
    </w:p>
    <w:p>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份，具有同等法律效力，甲乙双方各执</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w:t>
      </w:r>
    </w:p>
    <w:p>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4.合同附件：技术协议、招标文件、投标文件、中标通知书</w:t>
      </w: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987B300C-861C-4910-BFC7-F41900749371}"/>
  </w:font>
  <w:font w:name="仿宋">
    <w:panose1 w:val="02010609060101010101"/>
    <w:charset w:val="86"/>
    <w:family w:val="modern"/>
    <w:pitch w:val="default"/>
    <w:sig w:usb0="800002BF" w:usb1="38CF7CFA" w:usb2="00000016" w:usb3="00000000" w:csb0="00040001" w:csb1="00000000"/>
    <w:embedRegular r:id="rId2" w:fontKey="{545AA9D3-62B7-4489-85B6-666CF53313E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38E42B80"/>
    <w:rsid w:val="020E02AA"/>
    <w:rsid w:val="02296E92"/>
    <w:rsid w:val="022C2CE5"/>
    <w:rsid w:val="03DF3BE5"/>
    <w:rsid w:val="07E51AAD"/>
    <w:rsid w:val="0B1A04DC"/>
    <w:rsid w:val="0B3E2722"/>
    <w:rsid w:val="0BBB0EE3"/>
    <w:rsid w:val="0C0544CC"/>
    <w:rsid w:val="0FE47B20"/>
    <w:rsid w:val="123F625E"/>
    <w:rsid w:val="14B863F8"/>
    <w:rsid w:val="17E72CD8"/>
    <w:rsid w:val="180B4E43"/>
    <w:rsid w:val="1D3C6D55"/>
    <w:rsid w:val="263C4B36"/>
    <w:rsid w:val="264913D7"/>
    <w:rsid w:val="2A7C59B7"/>
    <w:rsid w:val="2F95544C"/>
    <w:rsid w:val="321150C9"/>
    <w:rsid w:val="328422AA"/>
    <w:rsid w:val="33613CE8"/>
    <w:rsid w:val="33E4755F"/>
    <w:rsid w:val="354F3848"/>
    <w:rsid w:val="38E42B80"/>
    <w:rsid w:val="396C3894"/>
    <w:rsid w:val="397078B6"/>
    <w:rsid w:val="3D0A09CF"/>
    <w:rsid w:val="3EB2121E"/>
    <w:rsid w:val="4EDE7C89"/>
    <w:rsid w:val="4FB97F09"/>
    <w:rsid w:val="56881917"/>
    <w:rsid w:val="56B31FEC"/>
    <w:rsid w:val="578B30EA"/>
    <w:rsid w:val="59F42A57"/>
    <w:rsid w:val="5CE31541"/>
    <w:rsid w:val="61984CBF"/>
    <w:rsid w:val="643B2AF7"/>
    <w:rsid w:val="672D34DB"/>
    <w:rsid w:val="6BF95CAB"/>
    <w:rsid w:val="6D8433DC"/>
    <w:rsid w:val="70427DDE"/>
    <w:rsid w:val="70695446"/>
    <w:rsid w:val="73920EBF"/>
    <w:rsid w:val="73D828EE"/>
    <w:rsid w:val="759A04FF"/>
    <w:rsid w:val="7A6723E9"/>
    <w:rsid w:val="7A6C1FF8"/>
    <w:rsid w:val="7CF14EA8"/>
    <w:rsid w:val="7ED32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1"/>
    <w:next w:val="1"/>
    <w:autoRedefine/>
    <w:qFormat/>
    <w:uiPriority w:val="0"/>
    <w:pPr>
      <w:jc w:val="center"/>
      <w:outlineLvl w:val="0"/>
    </w:pPr>
    <w:rPr>
      <w:rFonts w:ascii="宋体" w:hAnsi="宋体"/>
      <w:b/>
      <w:sz w:val="36"/>
    </w:rPr>
  </w:style>
  <w:style w:type="paragraph" w:styleId="6">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8">
    <w:name w:val="Body Text"/>
    <w:basedOn w:val="1"/>
    <w:next w:val="1"/>
    <w:autoRedefine/>
    <w:qFormat/>
    <w:uiPriority w:val="0"/>
    <w:pPr>
      <w:spacing w:after="120"/>
    </w:pPr>
    <w:rPr>
      <w:rFonts w:ascii="Times New Roman" w:hAnsi="Times New Roman"/>
    </w:rPr>
  </w:style>
  <w:style w:type="paragraph" w:styleId="9">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13">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4">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3017</Words>
  <Characters>3064</Characters>
  <Lines>0</Lines>
  <Paragraphs>0</Paragraphs>
  <TotalTime>3</TotalTime>
  <ScaleCrop>false</ScaleCrop>
  <LinksUpToDate>false</LinksUpToDate>
  <CharactersWithSpaces>3479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懛鰦</cp:lastModifiedBy>
  <dcterms:modified xsi:type="dcterms:W3CDTF">2025-05-16T08:28:15Z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1CCEC583AA234E7190960739386B8EF1_11</vt:lpwstr>
  </property>
  <property fmtid="{D5CDD505-2E9C-101B-9397-08002B2CF9AE}" pid="4" name="KSOTemplateDocerSaveRecord">
    <vt:lpwstr>eyJoZGlkIjoiNzRkODU0NWM1NTRlNTZjMDFhNjAyNDM3ZDE1ZjE0YTMiLCJ1c2VySWQiOiIzMTQzODkxMTYifQ==</vt:lpwstr>
  </property>
</Properties>
</file>