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版本号：SXHT-(GK)20250405.2B120250519001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省级应急救灾物资采购2(二次)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SXHT-(GK)20250405.2B1</w:t>
      </w:r>
      <w:r>
        <w:br/>
      </w:r>
      <w:r>
        <w:br/>
      </w:r>
      <w:r>
        <w:br/>
      </w:r>
    </w:p>
    <w:p>
      <w:pPr>
        <w:pStyle w:val="null3"/>
        <w:jc w:val="center"/>
        <w:outlineLvl w:val="2"/>
      </w:pPr>
      <w:r>
        <w:rPr>
          <w:rFonts w:ascii="仿宋_GB2312" w:hAnsi="仿宋_GB2312" w:cs="仿宋_GB2312" w:eastAsia="仿宋_GB2312"/>
          <w:sz w:val="28"/>
          <w:b/>
        </w:rPr>
        <w:t>陕西省救灾物资储备中心</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陕西省救灾物资储备中心</w:t>
      </w:r>
      <w:r>
        <w:rPr>
          <w:rFonts w:ascii="仿宋_GB2312" w:hAnsi="仿宋_GB2312" w:cs="仿宋_GB2312" w:eastAsia="仿宋_GB2312"/>
        </w:rPr>
        <w:t>委托，拟对</w:t>
      </w:r>
      <w:r>
        <w:rPr>
          <w:rFonts w:ascii="仿宋_GB2312" w:hAnsi="仿宋_GB2312" w:cs="仿宋_GB2312" w:eastAsia="仿宋_GB2312"/>
        </w:rPr>
        <w:t>省级应急救灾物资采购2(二次)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SXHT-(GK)20250405.2B1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省级应急救灾物资采购2(二次)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陕西省救灾物资储备中心省级应急救灾物资采购2，炊事取暖炉，1批；具体内容详见采购文件。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采购包1（陕西省救灾物资储备中心省级应急救灾物资采购2第二包）：属于专门面向中小企业采购。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4、社会保障资金缴纳证明：投标单位提供上一年至今任意一个月的社会保障资金缴存单据或社保机构开具的社会保险参保缴费情况证明，依法不需要缴纳社会保障资金的投标单位应提供相关文件证明；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6、声明函：参加政府采购活动前3年内经营活动中没有重大违法记录声明函；</w:t>
      </w:r>
    </w:p>
    <w:p>
      <w:pPr>
        <w:pStyle w:val="null3"/>
      </w:pPr>
      <w:r>
        <w:rPr>
          <w:rFonts w:ascii="仿宋_GB2312" w:hAnsi="仿宋_GB2312" w:cs="仿宋_GB2312" w:eastAsia="仿宋_GB2312"/>
        </w:rPr>
        <w:t>7、信用：通过“信用中国”网站（www.creditchina.gov.cn/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8、承诺书：提供具有履行服务合同所必需的产品和专业技术能力的承诺书；</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pPr>
      <w:r>
        <w:rPr>
          <w:rFonts w:ascii="仿宋_GB2312" w:hAnsi="仿宋_GB2312" w:cs="仿宋_GB2312" w:eastAsia="仿宋_GB2312"/>
        </w:rPr>
        <w:t>10、本项目为专门面向中小企业：本项目为专门面向中小企业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陕西省救灾物资储备中心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029-86320705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说明：1、交纳履约保证金时须注明项目编号、包号及用途(履约保证金)。 2、项目验收合格后无息退还。 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 2.支付方式：中标人应在领取通知书的同时，向陕西海堂项目管理咨询有限公司交纳本项目招标代理服费。 3.本项目项目属性：货物招标。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陕西省救灾物资储备中心</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陕西省救灾物资储备中心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陕西省救灾物资储备中心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 李工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陕西省救灾物资储备中心省级应急救灾物资采购2，炊事取暖炉，1批；具体内容详见采购文件。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炊事取暖炉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标的名称：炊事取暖炉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单价最高限价：</w:t>
            </w:r>
            <w:r>
              <w:rPr>
                <w:rFonts w:ascii="仿宋_GB2312" w:hAnsi="仿宋_GB2312" w:cs="仿宋_GB2312" w:eastAsia="仿宋_GB2312"/>
                <w:sz w:val="24"/>
              </w:rPr>
              <w:t>600元/台</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具体技术参数详见附件《采购需求》。</w:t>
            </w:r>
            <w:r>
              <w:br/>
            </w:r>
            <w:r>
              <w:rPr>
                <w:rFonts w:ascii="仿宋_GB2312" w:hAnsi="仿宋_GB2312" w:cs="仿宋_GB2312" w:eastAsia="仿宋_GB2312"/>
                <w:sz w:val="21"/>
              </w:rPr>
              <w:t xml:space="preserve"> 注：1.各投标人的样品必须满足招标文件的要求;样品(含包装等)均不得显示任何商标、厂家及品牌标识或其他特殊标记等信息，如有标识标记等单位信息的样品不得分。</w:t>
            </w:r>
            <w:r>
              <w:br/>
            </w:r>
            <w:r>
              <w:rPr>
                <w:rFonts w:ascii="仿宋_GB2312" w:hAnsi="仿宋_GB2312" w:cs="仿宋_GB2312" w:eastAsia="仿宋_GB2312"/>
                <w:sz w:val="21"/>
              </w:rPr>
              <w:t xml:space="preserve"> 2.各投标人自行承担样品搬运过程中发生的损失。</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b/>
              </w:rPr>
              <w:t>1.性能指标</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热性能指标</w:t>
            </w:r>
          </w:p>
          <w:p>
            <w:pPr>
              <w:pStyle w:val="null3"/>
              <w:jc w:val="left"/>
            </w:pPr>
            <w:r>
              <w:rPr>
                <w:rFonts w:ascii="仿宋_GB2312" w:hAnsi="仿宋_GB2312" w:cs="仿宋_GB2312" w:eastAsia="仿宋_GB2312"/>
                <w:sz w:val="21"/>
              </w:rPr>
              <w:t>1.1.1</w:t>
            </w:r>
            <w:r>
              <w:rPr>
                <w:rFonts w:ascii="仿宋_GB2312" w:hAnsi="仿宋_GB2312" w:cs="仿宋_GB2312" w:eastAsia="仿宋_GB2312"/>
                <w:sz w:val="21"/>
              </w:rPr>
              <w:t>升温</w:t>
            </w:r>
            <w:r>
              <w:rPr>
                <w:rFonts w:ascii="仿宋_GB2312" w:hAnsi="仿宋_GB2312" w:cs="仿宋_GB2312" w:eastAsia="仿宋_GB2312"/>
                <w:sz w:val="21"/>
              </w:rPr>
              <w:t>(上火)速度≥4℃/min</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环保性能指标</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.1</w:t>
            </w:r>
            <w:r>
              <w:rPr>
                <w:rFonts w:ascii="仿宋_GB2312" w:hAnsi="仿宋_GB2312" w:cs="仿宋_GB2312" w:eastAsia="仿宋_GB2312"/>
                <w:sz w:val="21"/>
              </w:rPr>
              <w:t>烟尘平均排放浓度</w:t>
            </w:r>
            <w:r>
              <w:rPr>
                <w:rFonts w:ascii="仿宋_GB2312" w:hAnsi="仿宋_GB2312" w:cs="仿宋_GB2312" w:eastAsia="仿宋_GB2312"/>
                <w:sz w:val="21"/>
              </w:rPr>
              <w:t>≤50mg/m³</w:t>
            </w:r>
          </w:p>
          <w:p>
            <w:pPr>
              <w:pStyle w:val="null3"/>
              <w:jc w:val="left"/>
            </w:pPr>
            <w:r>
              <w:rPr>
                <w:rFonts w:ascii="仿宋_GB2312" w:hAnsi="仿宋_GB2312" w:cs="仿宋_GB2312" w:eastAsia="仿宋_GB2312"/>
                <w:sz w:val="21"/>
              </w:rPr>
              <w:t>1.2.2</w:t>
            </w:r>
            <w:r>
              <w:rPr>
                <w:rFonts w:ascii="仿宋_GB2312" w:hAnsi="仿宋_GB2312" w:cs="仿宋_GB2312" w:eastAsia="仿宋_GB2312"/>
                <w:sz w:val="21"/>
              </w:rPr>
              <w:t xml:space="preserve"> </w:t>
            </w:r>
            <w:r>
              <w:rPr>
                <w:rFonts w:ascii="仿宋_GB2312" w:hAnsi="仿宋_GB2312" w:cs="仿宋_GB2312" w:eastAsia="仿宋_GB2312"/>
                <w:sz w:val="21"/>
              </w:rPr>
              <w:t>CO浓度≤0.2%</w:t>
            </w:r>
          </w:p>
          <w:p>
            <w:pPr>
              <w:pStyle w:val="null3"/>
              <w:jc w:val="left"/>
            </w:pPr>
            <w:r>
              <w:rPr>
                <w:rFonts w:ascii="仿宋_GB2312" w:hAnsi="仿宋_GB2312" w:cs="仿宋_GB2312" w:eastAsia="仿宋_GB2312"/>
                <w:sz w:val="21"/>
              </w:rPr>
              <w:t>1.2.3</w:t>
            </w:r>
            <w:r>
              <w:rPr>
                <w:rFonts w:ascii="仿宋_GB2312" w:hAnsi="仿宋_GB2312" w:cs="仿宋_GB2312" w:eastAsia="仿宋_GB2312"/>
                <w:sz w:val="21"/>
              </w:rPr>
              <w:t xml:space="preserve"> </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21"/>
              </w:rPr>
              <w:t>平</w:t>
            </w:r>
            <w:r>
              <w:rPr>
                <w:rFonts w:ascii="仿宋_GB2312" w:hAnsi="仿宋_GB2312" w:cs="仿宋_GB2312" w:eastAsia="仿宋_GB2312"/>
                <w:sz w:val="21"/>
              </w:rPr>
              <w:t>均排放浓度</w:t>
            </w:r>
            <w:r>
              <w:rPr>
                <w:rFonts w:ascii="仿宋_GB2312" w:hAnsi="仿宋_GB2312" w:cs="仿宋_GB2312" w:eastAsia="仿宋_GB2312"/>
                <w:sz w:val="21"/>
              </w:rPr>
              <w:t>≤30mm/m³</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结构要求</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炉具结构设计合理，操作方便，结实耐用。</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燃料种类：煤炭、生物质块及截短的木柴等。</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炉具配风合理，具备二次进风，炉体外壳与炉胆外壳之间为夹层结构，环形二次进风通道燃烧充分，节能环保，使用安全可靠。</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能够承受山区超长距离运输，结构不受损伤。</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整体尺寸：高</w:t>
            </w:r>
            <w:r>
              <w:rPr>
                <w:rFonts w:ascii="仿宋_GB2312" w:hAnsi="仿宋_GB2312" w:cs="仿宋_GB2312" w:eastAsia="仿宋_GB2312"/>
                <w:sz w:val="21"/>
              </w:rPr>
              <w:t>600mm（±20mm），长500mm（±20mm），宽500mm（±20mm）。</w:t>
            </w:r>
          </w:p>
          <w:p>
            <w:pPr>
              <w:pStyle w:val="null3"/>
              <w:jc w:val="left"/>
            </w:pPr>
            <w:r>
              <w:rPr>
                <w:rFonts w:ascii="仿宋_GB2312" w:hAnsi="仿宋_GB2312" w:cs="仿宋_GB2312" w:eastAsia="仿宋_GB2312"/>
                <w:sz w:val="21"/>
              </w:rPr>
              <w:t>3.炉具用材及加工要求</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炉面：热轧碳钢板，厚度</w:t>
            </w:r>
            <w:r>
              <w:rPr>
                <w:rFonts w:ascii="仿宋_GB2312" w:hAnsi="仿宋_GB2312" w:cs="仿宋_GB2312" w:eastAsia="仿宋_GB2312"/>
                <w:sz w:val="21"/>
              </w:rPr>
              <w:t>≥3 mm;所有碳钢板均要符合国家标准。</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炉体及底座：冷轧炭钢板，厚度</w:t>
            </w:r>
            <w:r>
              <w:rPr>
                <w:rFonts w:ascii="仿宋_GB2312" w:hAnsi="仿宋_GB2312" w:cs="仿宋_GB2312" w:eastAsia="仿宋_GB2312"/>
                <w:sz w:val="21"/>
              </w:rPr>
              <w:t>≥1.5 mm。</w:t>
            </w:r>
          </w:p>
          <w:p>
            <w:pPr>
              <w:pStyle w:val="null3"/>
              <w:jc w:val="left"/>
            </w:pPr>
            <w:r>
              <w:rPr>
                <w:rFonts w:ascii="仿宋_GB2312" w:hAnsi="仿宋_GB2312" w:cs="仿宋_GB2312" w:eastAsia="仿宋_GB2312"/>
                <w:sz w:val="21"/>
              </w:rPr>
              <w:t>3.3</w:t>
            </w:r>
            <w:r>
              <w:rPr>
                <w:rFonts w:ascii="仿宋_GB2312" w:hAnsi="仿宋_GB2312" w:cs="仿宋_GB2312" w:eastAsia="仿宋_GB2312"/>
                <w:sz w:val="21"/>
              </w:rPr>
              <w:t>出烟座：精钢，厚度</w:t>
            </w:r>
            <w:r>
              <w:rPr>
                <w:rFonts w:ascii="仿宋_GB2312" w:hAnsi="仿宋_GB2312" w:cs="仿宋_GB2312" w:eastAsia="仿宋_GB2312"/>
                <w:sz w:val="21"/>
              </w:rPr>
              <w:t>≥1mm;有出灰口，方便出灰。</w:t>
            </w:r>
          </w:p>
          <w:p>
            <w:pPr>
              <w:pStyle w:val="null3"/>
              <w:jc w:val="left"/>
            </w:pPr>
            <w:r>
              <w:rPr>
                <w:rFonts w:ascii="仿宋_GB2312" w:hAnsi="仿宋_GB2312" w:cs="仿宋_GB2312" w:eastAsia="仿宋_GB2312"/>
                <w:sz w:val="21"/>
              </w:rPr>
              <w:t>3.4</w:t>
            </w:r>
            <w:r>
              <w:rPr>
                <w:rFonts w:ascii="仿宋_GB2312" w:hAnsi="仿宋_GB2312" w:cs="仿宋_GB2312" w:eastAsia="仿宋_GB2312"/>
                <w:sz w:val="21"/>
              </w:rPr>
              <w:t>炉胆：耐火材料铸钢以及</w:t>
            </w:r>
            <w:r>
              <w:rPr>
                <w:rFonts w:ascii="仿宋_GB2312" w:hAnsi="仿宋_GB2312" w:cs="仿宋_GB2312" w:eastAsia="仿宋_GB2312"/>
                <w:sz w:val="21"/>
              </w:rPr>
              <w:t>2mm钢板加工而成，炉膛内不能有破损或残缺，要求能耐高温，不变形。</w:t>
            </w:r>
          </w:p>
          <w:p>
            <w:pPr>
              <w:pStyle w:val="null3"/>
              <w:jc w:val="left"/>
            </w:pPr>
            <w:r>
              <w:rPr>
                <w:rFonts w:ascii="仿宋_GB2312" w:hAnsi="仿宋_GB2312" w:cs="仿宋_GB2312" w:eastAsia="仿宋_GB2312"/>
                <w:sz w:val="21"/>
              </w:rPr>
              <w:t>3.5</w:t>
            </w:r>
            <w:r>
              <w:rPr>
                <w:rFonts w:ascii="仿宋_GB2312" w:hAnsi="仿宋_GB2312" w:cs="仿宋_GB2312" w:eastAsia="仿宋_GB2312"/>
                <w:sz w:val="21"/>
              </w:rPr>
              <w:t>炉盖：表面必须经过金属切削加工，保证在高温条件下不变形。</w:t>
            </w:r>
          </w:p>
          <w:p>
            <w:pPr>
              <w:pStyle w:val="null3"/>
              <w:jc w:val="left"/>
            </w:pPr>
            <w:r>
              <w:rPr>
                <w:rFonts w:ascii="仿宋_GB2312" w:hAnsi="仿宋_GB2312" w:cs="仿宋_GB2312" w:eastAsia="仿宋_GB2312"/>
                <w:sz w:val="21"/>
              </w:rPr>
              <w:t>3.6</w:t>
            </w:r>
            <w:r>
              <w:rPr>
                <w:rFonts w:ascii="仿宋_GB2312" w:hAnsi="仿宋_GB2312" w:cs="仿宋_GB2312" w:eastAsia="仿宋_GB2312"/>
                <w:sz w:val="21"/>
              </w:rPr>
              <w:t>铸件应符合国标</w:t>
            </w:r>
            <w:r>
              <w:rPr>
                <w:rFonts w:ascii="仿宋_GB2312" w:hAnsi="仿宋_GB2312" w:cs="仿宋_GB2312" w:eastAsia="仿宋_GB2312"/>
                <w:sz w:val="21"/>
              </w:rPr>
              <w:t>GB976 要求，铸件表面光滑、无缩孔、砂眼、裂纹等铸造缺陷。</w:t>
            </w:r>
          </w:p>
          <w:p>
            <w:pPr>
              <w:pStyle w:val="null3"/>
              <w:jc w:val="left"/>
            </w:pPr>
            <w:r>
              <w:rPr>
                <w:rFonts w:ascii="仿宋_GB2312" w:hAnsi="仿宋_GB2312" w:cs="仿宋_GB2312" w:eastAsia="仿宋_GB2312"/>
                <w:sz w:val="21"/>
              </w:rPr>
              <w:t>3.7</w:t>
            </w:r>
            <w:r>
              <w:rPr>
                <w:rFonts w:ascii="仿宋_GB2312" w:hAnsi="仿宋_GB2312" w:cs="仿宋_GB2312" w:eastAsia="仿宋_GB2312"/>
                <w:sz w:val="21"/>
              </w:rPr>
              <w:t>焊接件应符合国标</w:t>
            </w:r>
            <w:r>
              <w:rPr>
                <w:rFonts w:ascii="仿宋_GB2312" w:hAnsi="仿宋_GB2312" w:cs="仿宋_GB2312" w:eastAsia="仿宋_GB2312"/>
                <w:sz w:val="21"/>
              </w:rPr>
              <w:t>GB/T12468-2013要求，焊缝要求平整、满焊、均匀，表面无裂纹、弧坑、气孔。</w:t>
            </w:r>
          </w:p>
          <w:p>
            <w:pPr>
              <w:pStyle w:val="null3"/>
              <w:jc w:val="left"/>
            </w:pPr>
            <w:r>
              <w:rPr>
                <w:rFonts w:ascii="仿宋_GB2312" w:hAnsi="仿宋_GB2312" w:cs="仿宋_GB2312" w:eastAsia="仿宋_GB2312"/>
                <w:sz w:val="21"/>
              </w:rPr>
              <w:t>3.8</w:t>
            </w:r>
            <w:r>
              <w:rPr>
                <w:rFonts w:ascii="仿宋_GB2312" w:hAnsi="仿宋_GB2312" w:cs="仿宋_GB2312" w:eastAsia="仿宋_GB2312"/>
                <w:sz w:val="21"/>
              </w:rPr>
              <w:t>冲压件边缘不得有裂痕、起皱、飞边等缺陷。</w:t>
            </w:r>
          </w:p>
          <w:p>
            <w:pPr>
              <w:pStyle w:val="null3"/>
              <w:jc w:val="left"/>
            </w:pPr>
            <w:r>
              <w:rPr>
                <w:rFonts w:ascii="仿宋_GB2312" w:hAnsi="仿宋_GB2312" w:cs="仿宋_GB2312" w:eastAsia="仿宋_GB2312"/>
                <w:sz w:val="21"/>
              </w:rPr>
              <w:t>3.9</w:t>
            </w:r>
            <w:r>
              <w:rPr>
                <w:rFonts w:ascii="仿宋_GB2312" w:hAnsi="仿宋_GB2312" w:cs="仿宋_GB2312" w:eastAsia="仿宋_GB2312"/>
                <w:sz w:val="21"/>
              </w:rPr>
              <w:t>钣金件表现要求平整，无裂纹、皱折、凹凸等缺陷。</w:t>
            </w:r>
          </w:p>
          <w:p>
            <w:pPr>
              <w:pStyle w:val="null3"/>
              <w:jc w:val="left"/>
            </w:pPr>
            <w:r>
              <w:rPr>
                <w:rFonts w:ascii="仿宋_GB2312" w:hAnsi="仿宋_GB2312" w:cs="仿宋_GB2312" w:eastAsia="仿宋_GB2312"/>
                <w:sz w:val="21"/>
              </w:rPr>
              <w:t>3.10</w:t>
            </w:r>
            <w:r>
              <w:rPr>
                <w:rFonts w:ascii="仿宋_GB2312" w:hAnsi="仿宋_GB2312" w:cs="仿宋_GB2312" w:eastAsia="仿宋_GB2312"/>
                <w:sz w:val="21"/>
              </w:rPr>
              <w:t>机械加工件表面不得有磕碰、划伤等缺陷。</w:t>
            </w:r>
          </w:p>
          <w:p>
            <w:pPr>
              <w:pStyle w:val="null3"/>
              <w:jc w:val="left"/>
            </w:pPr>
            <w:r>
              <w:rPr>
                <w:rFonts w:ascii="仿宋_GB2312" w:hAnsi="仿宋_GB2312" w:cs="仿宋_GB2312" w:eastAsia="仿宋_GB2312"/>
                <w:sz w:val="21"/>
              </w:rPr>
              <w:t>3.11</w:t>
            </w:r>
            <w:r>
              <w:rPr>
                <w:rFonts w:ascii="仿宋_GB2312" w:hAnsi="仿宋_GB2312" w:cs="仿宋_GB2312" w:eastAsia="仿宋_GB2312"/>
                <w:sz w:val="21"/>
              </w:rPr>
              <w:t>铆接件应牢固。铆接处不得有松动、歪斜现象。</w:t>
            </w:r>
          </w:p>
          <w:p>
            <w:pPr>
              <w:pStyle w:val="null3"/>
              <w:jc w:val="left"/>
            </w:pPr>
            <w:r>
              <w:rPr>
                <w:rFonts w:ascii="仿宋_GB2312" w:hAnsi="仿宋_GB2312" w:cs="仿宋_GB2312" w:eastAsia="仿宋_GB2312"/>
                <w:sz w:val="21"/>
              </w:rPr>
              <w:t>3.12</w:t>
            </w:r>
            <w:r>
              <w:rPr>
                <w:rFonts w:ascii="仿宋_GB2312" w:hAnsi="仿宋_GB2312" w:cs="仿宋_GB2312" w:eastAsia="仿宋_GB2312"/>
                <w:sz w:val="21"/>
              </w:rPr>
              <w:t>保温材料不外漏。</w:t>
            </w:r>
          </w:p>
          <w:p>
            <w:pPr>
              <w:pStyle w:val="null3"/>
              <w:jc w:val="left"/>
            </w:pPr>
            <w:r>
              <w:rPr>
                <w:rFonts w:ascii="仿宋_GB2312" w:hAnsi="仿宋_GB2312" w:cs="仿宋_GB2312" w:eastAsia="仿宋_GB2312"/>
                <w:sz w:val="21"/>
              </w:rPr>
              <w:t>3.13</w:t>
            </w:r>
            <w:r>
              <w:rPr>
                <w:rFonts w:ascii="仿宋_GB2312" w:hAnsi="仿宋_GB2312" w:cs="仿宋_GB2312" w:eastAsia="仿宋_GB2312"/>
                <w:sz w:val="21"/>
              </w:rPr>
              <w:t>排烟筒材质镀锌铁皮，直径</w:t>
            </w:r>
            <w:r>
              <w:rPr>
                <w:rFonts w:ascii="仿宋_GB2312" w:hAnsi="仿宋_GB2312" w:cs="仿宋_GB2312" w:eastAsia="仿宋_GB2312"/>
                <w:sz w:val="21"/>
              </w:rPr>
              <w:t>90mm。</w:t>
            </w:r>
          </w:p>
          <w:p>
            <w:pPr>
              <w:pStyle w:val="null3"/>
              <w:jc w:val="left"/>
            </w:pPr>
            <w:r>
              <w:rPr>
                <w:rFonts w:ascii="仿宋_GB2312" w:hAnsi="仿宋_GB2312" w:cs="仿宋_GB2312" w:eastAsia="仿宋_GB2312"/>
                <w:sz w:val="21"/>
              </w:rPr>
              <w:t>3.14</w:t>
            </w:r>
            <w:r>
              <w:rPr>
                <w:rFonts w:ascii="仿宋_GB2312" w:hAnsi="仿宋_GB2312" w:cs="仿宋_GB2312" w:eastAsia="仿宋_GB2312"/>
                <w:sz w:val="21"/>
              </w:rPr>
              <w:t>配件包括但不限于烟筒</w:t>
            </w:r>
            <w:r>
              <w:rPr>
                <w:rFonts w:ascii="仿宋_GB2312" w:hAnsi="仿宋_GB2312" w:cs="仿宋_GB2312" w:eastAsia="仿宋_GB2312"/>
                <w:sz w:val="21"/>
              </w:rPr>
              <w:t>≥5m,弯头2套，钩子、夹子、铲子等。</w:t>
            </w:r>
          </w:p>
          <w:p>
            <w:pPr>
              <w:pStyle w:val="null3"/>
              <w:jc w:val="left"/>
            </w:pPr>
            <w:r>
              <w:rPr>
                <w:rFonts w:ascii="仿宋_GB2312" w:hAnsi="仿宋_GB2312" w:cs="仿宋_GB2312" w:eastAsia="仿宋_GB2312"/>
                <w:sz w:val="21"/>
                <w:b/>
              </w:rPr>
              <w:t>4.表面处理及重量</w:t>
            </w:r>
          </w:p>
          <w:p>
            <w:pPr>
              <w:pStyle w:val="null3"/>
              <w:jc w:val="left"/>
            </w:pPr>
            <w:r>
              <w:rPr>
                <w:rFonts w:ascii="仿宋_GB2312" w:hAnsi="仿宋_GB2312" w:cs="仿宋_GB2312" w:eastAsia="仿宋_GB2312"/>
                <w:sz w:val="21"/>
              </w:rPr>
              <w:t>炉具表面</w:t>
            </w:r>
            <w:r>
              <w:rPr>
                <w:rFonts w:ascii="仿宋_GB2312" w:hAnsi="仿宋_GB2312" w:cs="仿宋_GB2312" w:eastAsia="仿宋_GB2312"/>
                <w:sz w:val="21"/>
              </w:rPr>
              <w:t>(外壳)要做防锈处理，要求防锈层不易脱落，喷涂耐高温油漆，且满足防水要求，表面光滑、清洁、无缝。</w:t>
            </w:r>
          </w:p>
          <w:p>
            <w:pPr>
              <w:pStyle w:val="null3"/>
              <w:jc w:val="left"/>
            </w:pPr>
            <w:r>
              <w:rPr>
                <w:rFonts w:ascii="仿宋_GB2312" w:hAnsi="仿宋_GB2312" w:cs="仿宋_GB2312" w:eastAsia="仿宋_GB2312"/>
                <w:sz w:val="21"/>
                <w:b/>
              </w:rPr>
              <w:t>5.配件</w:t>
            </w:r>
          </w:p>
          <w:p>
            <w:pPr>
              <w:pStyle w:val="null3"/>
              <w:jc w:val="left"/>
            </w:pPr>
            <w:r>
              <w:rPr>
                <w:rFonts w:ascii="仿宋_GB2312" w:hAnsi="仿宋_GB2312" w:cs="仿宋_GB2312" w:eastAsia="仿宋_GB2312"/>
                <w:sz w:val="21"/>
              </w:rPr>
              <w:t>烟筒：长度</w:t>
            </w:r>
            <w:r>
              <w:rPr>
                <w:rFonts w:ascii="仿宋_GB2312" w:hAnsi="仿宋_GB2312" w:cs="仿宋_GB2312" w:eastAsia="仿宋_GB2312"/>
                <w:sz w:val="21"/>
              </w:rPr>
              <w:t>≥5m，配两套弯头，并配备钩子、夹子、铲子。</w:t>
            </w:r>
          </w:p>
          <w:p>
            <w:pPr>
              <w:pStyle w:val="null3"/>
              <w:jc w:val="left"/>
            </w:pPr>
            <w:r>
              <w:rPr>
                <w:rFonts w:ascii="仿宋_GB2312" w:hAnsi="仿宋_GB2312" w:cs="仿宋_GB2312" w:eastAsia="仿宋_GB2312"/>
                <w:sz w:val="21"/>
                <w:b/>
              </w:rPr>
              <w:t>6.标志、包装</w:t>
            </w:r>
          </w:p>
          <w:p>
            <w:pPr>
              <w:pStyle w:val="null3"/>
              <w:jc w:val="left"/>
            </w:pPr>
            <w:r>
              <w:rPr>
                <w:rFonts w:ascii="仿宋_GB2312" w:hAnsi="仿宋_GB2312" w:cs="仿宋_GB2312" w:eastAsia="仿宋_GB2312"/>
                <w:sz w:val="21"/>
              </w:rPr>
              <w:t>6.1</w:t>
            </w:r>
            <w:r>
              <w:rPr>
                <w:rFonts w:ascii="仿宋_GB2312" w:hAnsi="仿宋_GB2312" w:cs="仿宋_GB2312" w:eastAsia="仿宋_GB2312"/>
                <w:sz w:val="21"/>
              </w:rPr>
              <w:t>应在明显的位置设有清晰的、不易消除的标志。</w:t>
            </w:r>
          </w:p>
          <w:p>
            <w:pPr>
              <w:pStyle w:val="null3"/>
              <w:jc w:val="left"/>
            </w:pPr>
            <w:r>
              <w:rPr>
                <w:rFonts w:ascii="仿宋_GB2312" w:hAnsi="仿宋_GB2312" w:cs="仿宋_GB2312" w:eastAsia="仿宋_GB2312"/>
                <w:sz w:val="21"/>
              </w:rPr>
              <w:t>6.2</w:t>
            </w:r>
            <w:r>
              <w:rPr>
                <w:rFonts w:ascii="仿宋_GB2312" w:hAnsi="仿宋_GB2312" w:cs="仿宋_GB2312" w:eastAsia="仿宋_GB2312"/>
                <w:sz w:val="21"/>
              </w:rPr>
              <w:t>标志应标明产品铭牌，铭牌应包括产品制造厂名称、产品名称、型号商标、制造日期、出厂编号、外形尺寸，同时加标</w:t>
            </w:r>
            <w:r>
              <w:rPr>
                <w:rFonts w:ascii="仿宋_GB2312" w:hAnsi="仿宋_GB2312" w:cs="仿宋_GB2312" w:eastAsia="仿宋_GB2312"/>
                <w:sz w:val="21"/>
              </w:rPr>
              <w:t>“陕西省粮食和物资储备局”、“陕西省应急管理厅监制”标识。</w:t>
            </w:r>
          </w:p>
          <w:p>
            <w:pPr>
              <w:pStyle w:val="null3"/>
              <w:jc w:val="left"/>
            </w:pPr>
            <w:r>
              <w:rPr>
                <w:rFonts w:ascii="仿宋_GB2312" w:hAnsi="仿宋_GB2312" w:cs="仿宋_GB2312" w:eastAsia="仿宋_GB2312"/>
                <w:sz w:val="21"/>
              </w:rPr>
              <w:t>6.3</w:t>
            </w:r>
            <w:r>
              <w:rPr>
                <w:rFonts w:ascii="仿宋_GB2312" w:hAnsi="仿宋_GB2312" w:cs="仿宋_GB2312" w:eastAsia="仿宋_GB2312"/>
                <w:sz w:val="21"/>
              </w:rPr>
              <w:t>单件包装，每件包装内产品全部构件齐全，易于分发。</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随同产品应提供以下文件：产品合格证、产品说明书、装箱单、维修方法说明及产品保修单。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陕西省救灾物资储备中心指定地点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按照招标文件，以及合同要求。验收分为三个阶段，①生产的第1件产品、②生产过程抽检1 件、③入库抽检1件；第三次抽检，以生产厂家提供产品合格证合格后1个星期完成验收。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验收合格后6年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1.请将采购代理服务费汇至下列指定账户：户名：陕西海堂项目管理咨询有限公司 开户银行：中国银行股份有限公司西安雁塔路支行 账号：103675480567 2.供应商需要在线提交所有通过电子化交易平台实施的政府采购项目的投标文件，同时，线下提交投标文件正本壹份、副本贰套。 线下提交投标文件地点：于开标截止时间前。 线下提交投标文件地点：西安市建西街123号三楼第一会议室。 若电子投标文件与纸质投标文件不一致的，以电子投标文件为准；若正本和副本不符，以正本为准。 3.开标一览表中所报价格为投标单价报价。 4.各投标单位在文件截止时间前将样品递交至采购代理机构指定地点。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技术方案.docx 投标函 投标人需要提交的其他资料.docx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技术方案.docx 投标人需要提交的其他资料.docx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技术方案.docx 投标函 投标人需要提交的其他资料.docx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投标单位提供上一年至今任意一个月的社会保障资金缴存单据或社保机构开具的社会保险参保缴费情况证明，依法不需要缴纳社会保障资金的投标单位应提供相关文件证明；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提供具有履行服务合同所必需的产品和专业技术能力的承诺书；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本项目为专门面向中小企业</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生产能力</w:t>
            </w:r>
          </w:p>
        </w:tc>
        <w:tc>
          <w:tcPr>
            <w:tcW w:type="dxa" w:w="2492"/>
          </w:tcPr>
          <w:p>
            <w:pPr>
              <w:pStyle w:val="null3"/>
            </w:pPr>
            <w:r>
              <w:rPr>
                <w:rFonts w:ascii="仿宋_GB2312" w:hAnsi="仿宋_GB2312" w:cs="仿宋_GB2312" w:eastAsia="仿宋_GB2312"/>
              </w:rPr>
              <w:t>所供产品制造商的生产能力，按其响应程度，提供齐全的得3分，提供基本齐全得1分，未提供的得0分。 注：需提供生产车间（含生产线）现状照片及生产设备的清单，清单和照片需有制造商的公章。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生产计划方案</w:t>
            </w:r>
          </w:p>
        </w:tc>
        <w:tc>
          <w:tcPr>
            <w:tcW w:type="dxa" w:w="2492"/>
          </w:tcPr>
          <w:p>
            <w:pPr>
              <w:pStyle w:val="null3"/>
            </w:pPr>
            <w:r>
              <w:rPr>
                <w:rFonts w:ascii="仿宋_GB2312" w:hAnsi="仿宋_GB2312" w:cs="仿宋_GB2312" w:eastAsia="仿宋_GB2312"/>
              </w:rPr>
              <w:t>根据提供的生产组织计划、进度计划、交货计划的详细程度和可行性，完全满足项目需求，无瑕疵计3分；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团队架构清晰、人员配备齐全程度（如项目负责人、主要技术人员、安全生产保障人员、安全配送保障人员、应急保障人员），完全满足项目需求，无瑕疵计3分；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注：需提供人员身份证扫描件、近三个月内任意一个月本单位社保缴存证明或劳动合同，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物流运输方案</w:t>
            </w:r>
          </w:p>
        </w:tc>
        <w:tc>
          <w:tcPr>
            <w:tcW w:type="dxa" w:w="2492"/>
          </w:tcPr>
          <w:p>
            <w:pPr>
              <w:pStyle w:val="null3"/>
            </w:pPr>
            <w:r>
              <w:rPr>
                <w:rFonts w:ascii="仿宋_GB2312" w:hAnsi="仿宋_GB2312" w:cs="仿宋_GB2312" w:eastAsia="仿宋_GB2312"/>
              </w:rPr>
              <w:t>根据提供的物流运输方案（包括但不限于运输方式、运输的可靠性、时效性以及可追溯性）的详细程度和可行性，完全满足项目需求，无瑕疵计2分； 方案存在1处瑕疵计1.5分；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质量控制及保障</w:t>
            </w:r>
          </w:p>
        </w:tc>
        <w:tc>
          <w:tcPr>
            <w:tcW w:type="dxa" w:w="2492"/>
          </w:tcPr>
          <w:p>
            <w:pPr>
              <w:pStyle w:val="null3"/>
            </w:pPr>
            <w:r>
              <w:rPr>
                <w:rFonts w:ascii="仿宋_GB2312" w:hAnsi="仿宋_GB2312" w:cs="仿宋_GB2312" w:eastAsia="仿宋_GB2312"/>
              </w:rPr>
              <w:t>根据所供产品制造商的产品质量保证措施的规范和详细程度赋分： 1、生产工艺，提供齐全的得3分，提供基本齐全得1分，未提供的得0分。 2、产品质量控制措施、内部质检措施，提供齐全的得3分，提供基本齐全得1分，未提供的得0分。 3、仓储保障及安全措施，提供齐全的得2分，提供基本齐全得1分，未提供的得0分。 注：需提供制造商仓储库房（内部）的现状照片，照片需有制造商的公章。同时需要提供仓储库房的产权证明材料（不限于购置或租赁协议等）。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原材料保障措施</w:t>
            </w:r>
          </w:p>
        </w:tc>
        <w:tc>
          <w:tcPr>
            <w:tcW w:type="dxa" w:w="2492"/>
          </w:tcPr>
          <w:p>
            <w:pPr>
              <w:pStyle w:val="null3"/>
            </w:pPr>
            <w:r>
              <w:rPr>
                <w:rFonts w:ascii="仿宋_GB2312" w:hAnsi="仿宋_GB2312" w:cs="仿宋_GB2312" w:eastAsia="仿宋_GB2312"/>
              </w:rPr>
              <w:t>根据主要原材料的采购渠道，执行标准、检验措施的规范、清晰和完善程度，完全满足的得2分，基本满足得1分，未提供的得0分。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1、售后服务方案（针对本项目技术支持能力，响应速度，保修、服务优惠周到程度），提供齐全的得3分，提供基本齐全得1分，未提供的得0分。 2、售后服务承诺：针对本项目提供合理的服务承诺书，提供齐全的得3分，提供基本齐全得1分，未提供的得0分。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根据提供的应急方案（包括但不限于生产过程、运输过程突发情况的处置）的可行性，提供齐全的得2分，提供基本齐全得1分，未提供的得0分。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1、样品外观样式。 完全满足得6分，基本满足得3分，不满足或未提供的得0分。 2、样品材质、质量及规格完全满足得6分，基本满足得3分，不满足或未提供的得0分。 3、样品实用性能及功能结构。完全满足得6分，基本满足得3分，不满足或未提供的得0分。 4、标志印制清晰。完全满足得2分，基本满足得1分，不满足或未提供的得0分。 注：1.提供的样品与投标文件中提供产品品牌不一致时，按未提供样品处理。 2.所提供样品需和招标文件规定的技术文件要求保持一致，递交时间同文件递交截止时间一致。否则按未提供样品处理。 3.中标供应商样品作为验收依据转采购人接收，未中标供应商样品采购结果公示后五个工作日内退还。 4.提供炊事取暖炉一台。 5.各投标人的样品必须满足招标文件的要求;样品(含包装等)均不得显示任何商标、厂家及品牌标识或其他特殊标记等信息，如有标识标记等单位信息的样品不得分。 6.各投标人自行承担样品搬运过程中发生的损失。</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主要原材料进货凭证</w:t>
            </w:r>
          </w:p>
        </w:tc>
        <w:tc>
          <w:tcPr>
            <w:tcW w:type="dxa" w:w="2492"/>
          </w:tcPr>
          <w:p>
            <w:pPr>
              <w:pStyle w:val="null3"/>
            </w:pPr>
            <w:r>
              <w:rPr>
                <w:rFonts w:ascii="仿宋_GB2312" w:hAnsi="仿宋_GB2312" w:cs="仿宋_GB2312" w:eastAsia="仿宋_GB2312"/>
              </w:rPr>
              <w:t>每提供制造商近一年内任意批次1种主要原材料进货单据扫描件得0.5分，最高2分。主要原材料包括但不限于：钢板、铁皮、辅材等。注：属于制造商自产的提供说明（需由制造商提供盖公章），不需要提供进货单据证明，按已提供对待。</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环保标志产品</w:t>
            </w:r>
          </w:p>
        </w:tc>
        <w:tc>
          <w:tcPr>
            <w:tcW w:type="dxa" w:w="2492"/>
          </w:tcPr>
          <w:p>
            <w:pPr>
              <w:pStyle w:val="null3"/>
            </w:pPr>
            <w:r>
              <w:rPr>
                <w:rFonts w:ascii="仿宋_GB2312" w:hAnsi="仿宋_GB2312" w:cs="仿宋_GB2312" w:eastAsia="仿宋_GB2312"/>
              </w:rPr>
              <w:t>每提供一个环境标志产品（含原材料）得0.5分，最高 1分。需提供国家确定的认证机构出具的处于有效期之内认证资料扫描件且现场可查询。</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投标人提供2020年至今所投产品同一制造商的类似项目业绩（以投标文件中附有投标人及制造商加盖公章的合同复印件为准)，每提供一份业绩得1.5分，最高3分。 注：业绩以合同签订日期为准。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提供产品来源可靠性的证明，计3分。注：证明材料不限于链条完整的授权、代理协议、销售协议等，投标人为制造商的提供说明。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所投产品制造商通过以下认证且证书在有效期内的得2分，缺项不得分。 ①质量管理体系认证。 ②环境管理体系认证。 ③职业健康安全管理体系认证。</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完全响应招标文件技术标准中“▲”项参数的得10分，“▲”项中有一项不响应扣1分，扣完为止。注：以投标文件中的《技术参数响应表》为准。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价格分采用低价优先法计算，即满足招标文件要求且价格最低报价的为评标基准价，其价格分为满分。其他投标单位的价格分按照以下公式计算：投标报价得分=(评标基准价／投标报价)×价格权值×100 % 注：1.计算分数时四舍五入取小数点后两位 2.经评委一致认定，供应商的投标总报价低于公认市场成本，或超过采购预算,其投标将被拒绝。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详见附件：投标人需要提交的其他资料.docx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