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7819B">
      <w:pPr>
        <w:pStyle w:val="2"/>
        <w:spacing w:line="226" w:lineRule="auto"/>
        <w:ind w:left="356"/>
        <w:jc w:val="center"/>
        <w:rPr>
          <w:rFonts w:hint="eastAsia" w:ascii="宋体" w:hAnsi="宋体" w:eastAsia="宋体" w:cs="宋体"/>
          <w:sz w:val="36"/>
          <w:szCs w:val="36"/>
          <w:lang w:eastAsia="zh-CN"/>
        </w:rPr>
      </w:pPr>
      <w:bookmarkStart w:id="6" w:name="_GoBack"/>
      <w:bookmarkEnd w:id="6"/>
      <w:r>
        <w:rPr>
          <w:rFonts w:hint="eastAsia" w:ascii="宋体" w:hAnsi="宋体" w:eastAsia="宋体" w:cs="宋体"/>
          <w:sz w:val="36"/>
          <w:szCs w:val="36"/>
        </w:rPr>
        <w:t>供应商</w:t>
      </w:r>
      <w:r>
        <w:rPr>
          <w:rFonts w:hint="eastAsia" w:ascii="宋体" w:hAnsi="宋体" w:eastAsia="宋体" w:cs="宋体"/>
          <w:sz w:val="36"/>
          <w:szCs w:val="36"/>
          <w:lang w:eastAsia="zh-CN"/>
        </w:rPr>
        <w:t>承诺书</w:t>
      </w:r>
    </w:p>
    <w:p w14:paraId="1AA08176">
      <w:pPr>
        <w:autoSpaceDE w:val="0"/>
        <w:autoSpaceDN w:val="0"/>
        <w:adjustRightInd w:val="0"/>
        <w:jc w:val="center"/>
        <w:outlineLvl w:val="2"/>
        <w:rPr>
          <w:rFonts w:hint="eastAsia" w:ascii="宋体" w:hAnsi="宋体" w:eastAsia="宋体" w:cs="宋体"/>
          <w:b/>
          <w:bCs/>
          <w:sz w:val="30"/>
          <w:szCs w:val="30"/>
        </w:rPr>
      </w:pPr>
      <w:bookmarkStart w:id="0" w:name="_Toc12754"/>
      <w:r>
        <w:rPr>
          <w:rFonts w:hint="eastAsia" w:ascii="宋体" w:hAnsi="宋体" w:eastAsia="宋体" w:cs="宋体"/>
          <w:b/>
          <w:bCs/>
          <w:sz w:val="30"/>
          <w:szCs w:val="30"/>
          <w:lang w:eastAsia="zh-CN"/>
        </w:rPr>
        <w:t>供应商</w:t>
      </w:r>
      <w:r>
        <w:rPr>
          <w:rFonts w:hint="eastAsia" w:ascii="宋体" w:hAnsi="宋体" w:eastAsia="宋体" w:cs="宋体"/>
          <w:b/>
          <w:bCs/>
          <w:sz w:val="30"/>
          <w:szCs w:val="30"/>
        </w:rPr>
        <w:t>企业关系关联承诺书</w:t>
      </w:r>
      <w:bookmarkEnd w:id="0"/>
    </w:p>
    <w:p w14:paraId="4A0AED7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供应商</w:t>
      </w:r>
      <w:r>
        <w:rPr>
          <w:rFonts w:hint="eastAsia" w:ascii="宋体" w:hAnsi="宋体" w:eastAsia="宋体" w:cs="宋体"/>
          <w:sz w:val="24"/>
          <w:szCs w:val="24"/>
        </w:rPr>
        <w:t>在本项目投标中，不存在与其它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14:paraId="64482F9C">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1" w:name="_Toc20836"/>
      <w:r>
        <w:rPr>
          <w:rFonts w:hint="eastAsia" w:ascii="宋体" w:hAnsi="宋体" w:eastAsia="宋体" w:cs="宋体"/>
          <w:sz w:val="24"/>
          <w:szCs w:val="24"/>
        </w:rPr>
        <w:t>1.管理关系说明：</w:t>
      </w:r>
      <w:bookmarkEnd w:id="1"/>
    </w:p>
    <w:p w14:paraId="60B59950">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3FBDC07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514C1361">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2" w:name="_Toc29375"/>
      <w:r>
        <w:rPr>
          <w:rFonts w:hint="eastAsia" w:ascii="宋体" w:hAnsi="宋体" w:eastAsia="宋体" w:cs="宋体"/>
          <w:sz w:val="24"/>
          <w:szCs w:val="24"/>
        </w:rPr>
        <w:t>2.股权关系说明：</w:t>
      </w:r>
      <w:bookmarkEnd w:id="2"/>
    </w:p>
    <w:p w14:paraId="1AE9FC0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0351EB1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2B03C041">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3" w:name="_Toc18149"/>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bookmarkEnd w:id="3"/>
    </w:p>
    <w:p w14:paraId="5EE47F6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5157492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A783EC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446F0ED9">
      <w:pPr>
        <w:autoSpaceDE w:val="0"/>
        <w:autoSpaceDN w:val="0"/>
        <w:adjustRightInd w:val="0"/>
        <w:spacing w:line="288" w:lineRule="auto"/>
        <w:rPr>
          <w:rFonts w:hint="eastAsia" w:ascii="宋体" w:hAnsi="宋体" w:eastAsia="宋体" w:cs="宋体"/>
          <w:sz w:val="24"/>
          <w:szCs w:val="24"/>
        </w:rPr>
      </w:pPr>
    </w:p>
    <w:p w14:paraId="06945CAC">
      <w:pPr>
        <w:autoSpaceDE w:val="0"/>
        <w:autoSpaceDN w:val="0"/>
        <w:adjustRightInd w:val="0"/>
        <w:spacing w:line="288" w:lineRule="auto"/>
        <w:jc w:val="center"/>
        <w:rPr>
          <w:rFonts w:hint="eastAsia" w:ascii="宋体" w:hAnsi="宋体" w:eastAsia="宋体" w:cs="宋体"/>
          <w:b/>
          <w:sz w:val="24"/>
          <w:szCs w:val="24"/>
        </w:rPr>
      </w:pPr>
    </w:p>
    <w:p w14:paraId="02F6F7F8">
      <w:pPr>
        <w:pStyle w:val="2"/>
        <w:rPr>
          <w:rFonts w:hint="eastAsia" w:ascii="宋体" w:hAnsi="宋体" w:eastAsia="宋体" w:cs="宋体"/>
          <w:b/>
          <w:sz w:val="24"/>
          <w:szCs w:val="24"/>
        </w:rPr>
      </w:pPr>
    </w:p>
    <w:p w14:paraId="5690EF15">
      <w:pPr>
        <w:rPr>
          <w:rFonts w:hint="eastAsia" w:ascii="宋体" w:hAnsi="宋体" w:eastAsia="宋体" w:cs="宋体"/>
          <w:b/>
          <w:sz w:val="24"/>
          <w:szCs w:val="24"/>
        </w:rPr>
      </w:pPr>
    </w:p>
    <w:p w14:paraId="34C842C1">
      <w:pPr>
        <w:pStyle w:val="2"/>
        <w:rPr>
          <w:rFonts w:hint="eastAsia"/>
        </w:rPr>
      </w:pPr>
    </w:p>
    <w:p w14:paraId="29F706DE">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87B25FB">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2F95412">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color w:val="auto"/>
          <w:u w:val="none"/>
          <w:lang w:eastAsia="zh-CN"/>
        </w:rPr>
      </w:pPr>
      <w:bookmarkStart w:id="4" w:name="_Toc14467"/>
      <w:bookmarkStart w:id="5" w:name="_Toc7847"/>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4"/>
      <w:bookmarkEnd w:id="5"/>
    </w:p>
    <w:p w14:paraId="34BAD84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09ADDCE2">
      <w:pPr>
        <w:adjustRightInd w:val="0"/>
        <w:snapToGrid w:val="0"/>
        <w:spacing w:line="360" w:lineRule="auto"/>
        <w:jc w:val="center"/>
        <w:rPr>
          <w:rFonts w:hint="eastAsia" w:ascii="宋体" w:hAnsi="宋体" w:eastAsia="宋体" w:cs="宋体"/>
          <w:b/>
          <w:bCs/>
          <w:color w:val="auto"/>
          <w:sz w:val="44"/>
          <w:szCs w:val="44"/>
        </w:rPr>
      </w:pPr>
      <w:r>
        <w:rPr>
          <w:rFonts w:hint="eastAsia" w:ascii="宋体" w:hAnsi="宋体" w:eastAsia="宋体" w:cs="宋体"/>
          <w:color w:val="auto"/>
          <w:sz w:val="32"/>
          <w:u w:val="single"/>
        </w:rPr>
        <w:br w:type="page"/>
      </w:r>
      <w:r>
        <w:rPr>
          <w:rFonts w:hint="eastAsia" w:ascii="宋体" w:hAnsi="宋体" w:eastAsia="宋体" w:cs="宋体"/>
          <w:b/>
          <w:bCs/>
          <w:color w:val="auto"/>
          <w:sz w:val="36"/>
          <w:szCs w:val="36"/>
        </w:rPr>
        <w:t>拒绝政府采购领域商业贿赂承诺书</w:t>
      </w:r>
    </w:p>
    <w:p w14:paraId="700F219C">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为响应党中央、国务院关于治理政府采购领域商业贿赂行为的号召，我公司在此庄严承诺：</w:t>
      </w:r>
    </w:p>
    <w:p w14:paraId="2C06321E">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一、在参与政府采购活动中遵纪守法、诚信经营、公平竞标。</w:t>
      </w:r>
    </w:p>
    <w:p w14:paraId="45F53DFE">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二、不向政府采购人、采购代理机构和政府采购评审专家进行任何形式的商业贿赂以谋取交易机会。</w:t>
      </w:r>
    </w:p>
    <w:p w14:paraId="1E8F893C">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三、不向政府采购代理机构和采购人提供虚假资质证明文件或采用虚假应标方式参与政府采购市场竞争并谋取中标、成交。</w:t>
      </w:r>
    </w:p>
    <w:p w14:paraId="71B4F28F">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四、不采取“围标、陪标”等商业欺诈手段获得政府采购订单。</w:t>
      </w:r>
    </w:p>
    <w:p w14:paraId="5D71D285">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五、不采取不正当手段诋毁、排挤其他供应商。</w:t>
      </w:r>
    </w:p>
    <w:p w14:paraId="1E772515">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六、不在提供货物和服务时“偷梁换柱、以次充好”损害采购人的合法权益。</w:t>
      </w:r>
    </w:p>
    <w:p w14:paraId="4EA3DA50">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七、不与采购人、采购代理机构、政府采购评审专家或其它供应商恶意串通，进行质疑和投诉，维护政府采购市场秩序。</w:t>
      </w:r>
    </w:p>
    <w:p w14:paraId="08612058">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八、尊重和接受政府采购监督管理部门的监督和政府采购代理机构招标采购要求，承担因违约行为给采购人造成的损失。</w:t>
      </w:r>
    </w:p>
    <w:p w14:paraId="4060EB7A">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九、不发生其他有悖于政府采购公开、公平、公正和诚实守信原则的行为。                                    </w:t>
      </w:r>
    </w:p>
    <w:p w14:paraId="0074D098">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C8EB879">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B05DB58">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31A35D16">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12F21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E1121B"/>
    <w:rsid w:val="35E1121B"/>
    <w:rsid w:val="4E917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2025-05-20T08:58:00Z</dcterms:created>
  <dc:creator>芹泽。</dc:creator>
  <cp:lastModifiedBy>芹泽。</cp:lastModifiedBy>
  <dcterms:modified xsi:type="dcterms:W3CDTF">2025-05-20T08:59:01Z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CFD80758EA6B4EDBB85F1160993E78F3_11</vt:lpwstr>
  </property>
  <property fmtid="{D5CDD505-2E9C-101B-9397-08002B2CF9AE}" pid="4" name="KSOTemplateDocerSaveRecord">
    <vt:lpwstr>eyJoZGlkIjoiZWRmODUyMmY3MjNhYjM0N2NjMjkwZDgwZDk1Nzk3MDAiLCJ1c2VySWQiOiIzNTc4MjExMjUifQ==</vt:lpwstr>
  </property>
</Properties>
</file>