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6C1F3">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14:paraId="1C87766B">
      <w:pPr>
        <w:pStyle w:val="3"/>
        <w:spacing w:beforeLines="0" w:line="500" w:lineRule="exact"/>
        <w:rPr>
          <w:rFonts w:hint="eastAsia" w:ascii="宋体" w:hAnsi="宋体" w:eastAsia="宋体" w:cs="宋体"/>
          <w:b/>
          <w:bCs/>
          <w:color w:val="auto"/>
          <w:sz w:val="28"/>
          <w:szCs w:val="28"/>
          <w:highlight w:val="none"/>
        </w:rPr>
      </w:pPr>
    </w:p>
    <w:p w14:paraId="07C4AAD6">
      <w:pPr>
        <w:rPr>
          <w:rFonts w:ascii="仿宋" w:hAnsi="仿宋" w:eastAsia="仿宋" w:cs="仿宋"/>
          <w:b/>
          <w:bCs/>
          <w:color w:val="auto"/>
          <w:sz w:val="30"/>
          <w:szCs w:val="30"/>
          <w:highlight w:val="none"/>
          <w:lang w:eastAsia="zh-CN"/>
        </w:rPr>
      </w:pPr>
    </w:p>
    <w:p w14:paraId="432395A9">
      <w:pPr>
        <w:pStyle w:val="6"/>
        <w:rPr>
          <w:rFonts w:ascii="仿宋" w:hAnsi="仿宋" w:eastAsia="仿宋" w:cs="仿宋"/>
          <w:b/>
          <w:bCs/>
          <w:color w:val="auto"/>
          <w:sz w:val="30"/>
          <w:szCs w:val="30"/>
          <w:highlight w:val="none"/>
          <w:lang w:eastAsia="zh-CN"/>
        </w:rPr>
      </w:pPr>
    </w:p>
    <w:p w14:paraId="43E18C82">
      <w:pPr>
        <w:pStyle w:val="6"/>
        <w:rPr>
          <w:rFonts w:ascii="仿宋" w:hAnsi="仿宋" w:eastAsia="仿宋" w:cs="仿宋"/>
          <w:b/>
          <w:bCs/>
          <w:color w:val="auto"/>
          <w:sz w:val="30"/>
          <w:szCs w:val="30"/>
          <w:highlight w:val="none"/>
          <w:lang w:eastAsia="zh-CN"/>
        </w:rPr>
      </w:pPr>
    </w:p>
    <w:p w14:paraId="2DE7FAFA">
      <w:pPr>
        <w:rPr>
          <w:color w:val="auto"/>
          <w:highlight w:val="none"/>
          <w:lang w:eastAsia="zh-CN"/>
        </w:rPr>
      </w:pPr>
    </w:p>
    <w:p w14:paraId="6CDCD8D1">
      <w:pPr>
        <w:pStyle w:val="3"/>
        <w:rPr>
          <w:rFonts w:ascii="仿宋" w:hAnsi="仿宋" w:eastAsia="仿宋" w:cs="仿宋"/>
          <w:color w:val="auto"/>
          <w:highlight w:val="none"/>
          <w:lang w:eastAsia="zh-CN"/>
        </w:rPr>
      </w:pPr>
    </w:p>
    <w:p w14:paraId="5C9003ED">
      <w:pPr>
        <w:pStyle w:val="3"/>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14:paraId="3B01072E">
      <w:pPr>
        <w:rPr>
          <w:rFonts w:ascii="仿宋" w:hAnsi="仿宋" w:eastAsia="仿宋" w:cs="仿宋"/>
          <w:color w:val="auto"/>
          <w:highlight w:val="none"/>
          <w:lang w:eastAsia="zh-CN"/>
        </w:rPr>
      </w:pPr>
    </w:p>
    <w:p w14:paraId="18392D1A">
      <w:pPr>
        <w:rPr>
          <w:rFonts w:ascii="仿宋" w:hAnsi="仿宋" w:eastAsia="仿宋" w:cs="仿宋"/>
          <w:color w:val="auto"/>
          <w:highlight w:val="none"/>
          <w:lang w:eastAsia="zh-CN"/>
        </w:rPr>
      </w:pPr>
    </w:p>
    <w:p w14:paraId="5D3F603C">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5D67AB89">
      <w:pPr>
        <w:jc w:val="center"/>
        <w:rPr>
          <w:rFonts w:ascii="仿宋" w:hAnsi="仿宋" w:eastAsia="仿宋" w:cs="仿宋"/>
          <w:b/>
          <w:color w:val="auto"/>
          <w:sz w:val="36"/>
          <w:szCs w:val="36"/>
          <w:highlight w:val="none"/>
          <w:lang w:eastAsia="zh-CN"/>
        </w:rPr>
      </w:pPr>
    </w:p>
    <w:p w14:paraId="01E2A776">
      <w:pPr>
        <w:jc w:val="center"/>
        <w:rPr>
          <w:rFonts w:ascii="仿宋" w:hAnsi="仿宋" w:eastAsia="仿宋" w:cs="仿宋"/>
          <w:b/>
          <w:color w:val="auto"/>
          <w:sz w:val="36"/>
          <w:szCs w:val="36"/>
          <w:highlight w:val="none"/>
          <w:lang w:eastAsia="zh-CN"/>
        </w:rPr>
      </w:pPr>
    </w:p>
    <w:p w14:paraId="6452691A">
      <w:pPr>
        <w:rPr>
          <w:rFonts w:ascii="仿宋" w:hAnsi="仿宋" w:eastAsia="仿宋" w:cs="仿宋"/>
          <w:b/>
          <w:color w:val="auto"/>
          <w:sz w:val="36"/>
          <w:szCs w:val="36"/>
          <w:highlight w:val="none"/>
          <w:lang w:eastAsia="zh-CN"/>
        </w:rPr>
      </w:pPr>
    </w:p>
    <w:p w14:paraId="1D5307A5">
      <w:pPr>
        <w:spacing w:before="156" w:beforeLines="50" w:line="360" w:lineRule="auto"/>
        <w:jc w:val="center"/>
        <w:rPr>
          <w:rFonts w:ascii="仿宋" w:hAnsi="仿宋" w:eastAsia="仿宋" w:cs="仿宋"/>
          <w:b/>
          <w:bCs/>
          <w:color w:val="auto"/>
          <w:sz w:val="36"/>
          <w:szCs w:val="36"/>
          <w:highlight w:val="none"/>
          <w:lang w:eastAsia="zh-CN"/>
        </w:rPr>
      </w:pPr>
    </w:p>
    <w:p w14:paraId="27B44452">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14:paraId="2CAC5094">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14:paraId="359C92E6">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14:paraId="011D69A6">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14:paraId="17689AB5">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14:paraId="2A47DA12">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14:paraId="67092DC9">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14:paraId="0F6E6409">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14:paraId="0D2B84A2">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14:paraId="2DFEEB57">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1B32A019">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w:t>
      </w:r>
    </w:p>
    <w:p w14:paraId="2295BB67">
      <w:pPr>
        <w:spacing w:beforeLines="0" w:line="52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 xml:space="preserve"> 。</w:t>
      </w:r>
    </w:p>
    <w:p w14:paraId="7D1DE215">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14:paraId="1F3E14FE">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14:paraId="0155A42E">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14:paraId="6433941E">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14:paraId="68A013F9">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14:paraId="0E6D7CBF">
      <w:pPr>
        <w:kinsoku/>
        <w:spacing w:beforeLines="0" w:line="520" w:lineRule="exact"/>
        <w:ind w:firstLine="554" w:firstLineChars="198"/>
        <w:jc w:val="both"/>
        <w:rPr>
          <w:rFonts w:hint="default"/>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125BF253">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14:paraId="397A5622">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14:paraId="5CB6D040">
      <w:pPr>
        <w:kinsoku/>
        <w:spacing w:beforeLines="0" w:line="520" w:lineRule="exact"/>
        <w:ind w:firstLine="554" w:firstLineChars="198"/>
        <w:rPr>
          <w:rFonts w:hint="eastAsia"/>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14:paraId="6E4782B5">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2.付款方式： </w:t>
      </w:r>
    </w:p>
    <w:p w14:paraId="7848472F">
      <w:pPr>
        <w:kinsoku/>
        <w:spacing w:beforeLines="0" w:line="520" w:lineRule="exact"/>
        <w:ind w:firstLine="554" w:firstLineChars="198"/>
        <w:jc w:val="both"/>
        <w:rPr>
          <w:rFonts w:hint="eastAsia"/>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14:paraId="442FEE79">
      <w:pPr>
        <w:kinsoku/>
        <w:spacing w:beforeLines="0" w:line="520" w:lineRule="exact"/>
        <w:ind w:firstLine="560" w:firstLineChars="200"/>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合同签订后，甲方收到履约保证金及增值税普通发票后 ，支付合同总金额的60.00%。乙方</w:t>
      </w:r>
      <w:r>
        <w:rPr>
          <w:rFonts w:hint="eastAsia" w:asciiTheme="minorEastAsia" w:hAnsiTheme="minorEastAsia" w:eastAsiaTheme="minorEastAsia" w:cstheme="minorEastAsia"/>
          <w:color w:val="auto"/>
          <w:sz w:val="28"/>
          <w:szCs w:val="28"/>
          <w:highlight w:val="none"/>
          <w:lang w:val="en-US" w:eastAsia="zh-CN"/>
        </w:rPr>
        <w:t>完成全部合同内容，提交项目年度咨询报告经甲方确认合格，且作为普通公路建养项目出具省级审查意见的依据，</w:t>
      </w:r>
      <w:r>
        <w:rPr>
          <w:rFonts w:hint="eastAsia" w:asciiTheme="minorEastAsia" w:hAnsiTheme="minorEastAsia" w:eastAsiaTheme="minorEastAsia" w:cstheme="minorEastAsia"/>
          <w:color w:val="auto"/>
          <w:sz w:val="28"/>
          <w:szCs w:val="28"/>
          <w:highlight w:val="none"/>
          <w:lang w:eastAsia="zh-CN"/>
        </w:rPr>
        <w:t>支付合同总金额的40.00%。</w:t>
      </w:r>
    </w:p>
    <w:p w14:paraId="07CEFB54">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14:paraId="728DE034">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服务期限：自合同签订之日起1年。</w:t>
      </w:r>
      <w:r>
        <w:rPr>
          <w:rFonts w:hint="default" w:asciiTheme="minorEastAsia" w:hAnsiTheme="minorEastAsia" w:eastAsiaTheme="minorEastAsia" w:cstheme="minorEastAsia"/>
          <w:color w:val="auto"/>
          <w:sz w:val="28"/>
          <w:szCs w:val="28"/>
          <w:highlight w:val="none"/>
          <w:lang w:val="en-US" w:eastAsia="zh-CN"/>
        </w:rPr>
        <w:t>单项咨询任务下达后，须15个工作日内出具正式咨询意见</w:t>
      </w:r>
      <w:r>
        <w:rPr>
          <w:rFonts w:hint="eastAsia" w:asciiTheme="minorEastAsia" w:hAnsiTheme="minorEastAsia" w:eastAsiaTheme="minorEastAsia" w:cstheme="minorEastAsia"/>
          <w:color w:val="auto"/>
          <w:sz w:val="28"/>
          <w:szCs w:val="28"/>
          <w:highlight w:val="none"/>
          <w:lang w:val="en-US" w:eastAsia="zh-CN"/>
        </w:rPr>
        <w:t>。</w:t>
      </w:r>
    </w:p>
    <w:p w14:paraId="0E5EC96D">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14:paraId="2CEC7143">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按照技术规范及相关规范性文件要求，完成2026年拟实施普通干线公路养护大中修、路面改造、危旧桥隧改造、灾害防治工程等项目的方案设计审查等工作。</w:t>
      </w:r>
    </w:p>
    <w:p w14:paraId="45BA734C">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14:paraId="1F008790">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14:paraId="112CEF3B">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14:paraId="05D77CA1">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14:paraId="21B38B00">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14:paraId="62833A05">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w:t>
      </w:r>
      <w:r>
        <w:rPr>
          <w:rFonts w:hint="eastAsia" w:asciiTheme="minorEastAsia" w:hAnsiTheme="minorEastAsia" w:eastAsiaTheme="minorEastAsia" w:cstheme="minorEastAsia"/>
          <w:color w:val="auto"/>
          <w:sz w:val="28"/>
          <w:szCs w:val="28"/>
          <w:highlight w:val="none"/>
          <w:lang w:eastAsia="zh-CN"/>
        </w:rPr>
        <w:t>服务联系方式：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14:paraId="2304EB2E">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14:paraId="28C99C72">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14:paraId="15953F29">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14:paraId="325B6655">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14:paraId="6DC5707E">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14:paraId="746EE0B9">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14:paraId="7F4F0AF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5EA018BC">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14:paraId="02984DCC">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14:paraId="5ED7E86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14:paraId="7F062E69">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14:paraId="49CF9C2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37E57B5F">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14:paraId="380E189E">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1.甲乙双方必须遵守本合同并执行合同中的各项规定，保证本合同的正常履行。</w:t>
      </w:r>
    </w:p>
    <w:p w14:paraId="044666C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43BB18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721053C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14:paraId="61DE1F3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0E6DFD1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14:paraId="2132E3E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14:paraId="276B137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7076794E">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14:paraId="50BAAD36">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14:paraId="0AFA048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14:paraId="47FF690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14:paraId="566A63EC">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14:paraId="71863789">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14:paraId="3D9BCE5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在执行本合同中发生的或与本合同有关的争端，双方应通过友好协商解决，经协商无法解决的，应向甲方所在地有管理权限的人民法院提请诉讼。</w:t>
      </w:r>
    </w:p>
    <w:p w14:paraId="7EFF0625">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14:paraId="77F2CE8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03C193A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14:paraId="323086E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14:paraId="68417D02">
      <w:pPr>
        <w:tabs>
          <w:tab w:val="left" w:pos="980"/>
        </w:tabs>
        <w:spacing w:beforeLines="0" w:line="520" w:lineRule="exact"/>
        <w:rPr>
          <w:rFonts w:hint="eastAsia" w:asciiTheme="minorEastAsia" w:hAnsiTheme="minorEastAsia" w:eastAsiaTheme="minorEastAsia" w:cstheme="minorEastAsia"/>
          <w:color w:val="auto"/>
          <w:sz w:val="28"/>
          <w:szCs w:val="28"/>
          <w:highlight w:val="none"/>
          <w:lang w:eastAsia="zh-CN"/>
        </w:rPr>
      </w:pPr>
    </w:p>
    <w:tbl>
      <w:tblPr>
        <w:tblStyle w:val="10"/>
        <w:tblpPr w:leftFromText="180" w:rightFromText="180" w:vertAnchor="text" w:horzAnchor="page" w:tblpX="1459" w:tblpY="579"/>
        <w:tblOverlap w:val="never"/>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14:paraId="0D023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7" w:hRule="atLeast"/>
        </w:trPr>
        <w:tc>
          <w:tcPr>
            <w:tcW w:w="4591" w:type="dxa"/>
          </w:tcPr>
          <w:p w14:paraId="48AC2951">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14:paraId="3D665666">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3F88B258">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32DCC70F">
            <w:pPr>
              <w:pStyle w:val="3"/>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10BCA529">
            <w:pPr>
              <w:rPr>
                <w:color w:val="auto"/>
                <w:highlight w:val="none"/>
              </w:rPr>
            </w:pPr>
          </w:p>
          <w:p w14:paraId="1B5B6BE5">
            <w:pPr>
              <w:rPr>
                <w:color w:val="auto"/>
                <w:highlight w:val="none"/>
              </w:rPr>
            </w:pPr>
          </w:p>
          <w:p w14:paraId="7319F58F">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5B07E51A">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0CDBCD8A">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14:paraId="75A57F96">
            <w:pPr>
              <w:rPr>
                <w:rFonts w:hint="eastAsia" w:asciiTheme="minorEastAsia" w:hAnsiTheme="minorEastAsia" w:eastAsiaTheme="minorEastAsia" w:cstheme="minorEastAsia"/>
                <w:color w:val="auto"/>
                <w:sz w:val="28"/>
                <w:szCs w:val="28"/>
                <w:highlight w:val="none"/>
                <w:lang w:val="en-US" w:eastAsia="zh-CN"/>
              </w:rPr>
            </w:pPr>
          </w:p>
          <w:p w14:paraId="4BA261EA">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tcPr>
          <w:p w14:paraId="0E90C579">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14:paraId="69B5C6B6">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586C8D78">
            <w:pPr>
              <w:pStyle w:val="3"/>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371C4FE0">
            <w:pPr>
              <w:pStyle w:val="3"/>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12AAFF77">
            <w:pPr>
              <w:rPr>
                <w:color w:val="auto"/>
                <w:highlight w:val="none"/>
              </w:rPr>
            </w:pPr>
          </w:p>
          <w:p w14:paraId="272FA1D7">
            <w:pPr>
              <w:rPr>
                <w:color w:val="auto"/>
                <w:highlight w:val="none"/>
              </w:rPr>
            </w:pPr>
          </w:p>
          <w:p w14:paraId="76AA7F86">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27BBE311">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337531A4">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14:paraId="47548CE4">
            <w:pPr>
              <w:rPr>
                <w:rFonts w:hint="eastAsia" w:asciiTheme="minorEastAsia" w:hAnsiTheme="minorEastAsia" w:eastAsiaTheme="minorEastAsia" w:cstheme="minorEastAsia"/>
                <w:color w:val="auto"/>
                <w:sz w:val="28"/>
                <w:szCs w:val="28"/>
                <w:highlight w:val="none"/>
                <w:lang w:val="en-US" w:eastAsia="zh-CN"/>
              </w:rPr>
            </w:pPr>
          </w:p>
          <w:p w14:paraId="1B1F5C6A">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14:paraId="7C6D1734">
      <w:pPr>
        <w:pStyle w:val="6"/>
        <w:spacing w:beforeLines="0" w:line="500" w:lineRule="exact"/>
        <w:rPr>
          <w:rFonts w:hint="eastAsia" w:asciiTheme="minorEastAsia" w:hAnsiTheme="minorEastAsia" w:eastAsiaTheme="minorEastAsia" w:cstheme="minorEastAsia"/>
          <w:color w:val="auto"/>
          <w:sz w:val="28"/>
          <w:szCs w:val="28"/>
          <w:highlight w:val="none"/>
        </w:rPr>
      </w:pPr>
    </w:p>
    <w:p w14:paraId="6CBCB4A7">
      <w:pPr>
        <w:pStyle w:val="6"/>
        <w:spacing w:line="640" w:lineRule="exact"/>
        <w:rPr>
          <w:rFonts w:hint="eastAsia"/>
          <w:color w:val="auto"/>
          <w:highlight w:val="none"/>
        </w:rPr>
        <w:sectPr>
          <w:pgSz w:w="11906" w:h="16838"/>
          <w:pgMar w:top="2098" w:right="1474" w:bottom="1984" w:left="1587" w:header="851" w:footer="992" w:gutter="0"/>
          <w:cols w:space="425" w:num="1"/>
          <w:docGrid w:type="lines" w:linePitch="312" w:charSpace="0"/>
        </w:sectPr>
      </w:pPr>
    </w:p>
    <w:p w14:paraId="6CCC0FE2">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14:paraId="0165C93F">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14:paraId="0E181FC7">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14:paraId="581ECBD0">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14:paraId="2A5F7BB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14:paraId="3843E6A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14:paraId="6C0AB11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14:paraId="541FEC22">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14:paraId="318B899A">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14:paraId="5660D435">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14:paraId="25DF21CE">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14:paraId="7D09A819">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14:paraId="0A481A41">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14:paraId="299900A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14:paraId="6045FC05">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14:paraId="5C26A48E">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14:paraId="14485612">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14:paraId="006782DA">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14:paraId="49615EE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14:paraId="2D3DE0DA">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14:paraId="55E09BF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14:paraId="40428902">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14:paraId="639E0CA0">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14:paraId="3E957304">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14:paraId="63777690">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14:paraId="7D577CDC">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14:paraId="64BEB893">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0086E5B9">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7BC2B6DA">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6F30587F">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14:paraId="4810A1E1">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69A7DCDE">
      <w:pPr>
        <w:spacing w:beforeLines="0" w:line="500" w:lineRule="exact"/>
        <w:ind w:firstLine="280" w:firstLineChars="100"/>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                                         年     月     日</w:t>
      </w:r>
    </w:p>
    <w:p w14:paraId="79E62291">
      <w:pPr>
        <w:spacing w:beforeLines="0" w:line="500" w:lineRule="exact"/>
        <w:ind w:firstLine="280" w:firstLineChars="100"/>
        <w:textAlignment w:val="bottom"/>
        <w:rPr>
          <w:rFonts w:hint="eastAsia" w:asciiTheme="minorEastAsia" w:hAnsiTheme="minorEastAsia" w:eastAsiaTheme="minorEastAsia" w:cstheme="minorEastAsia"/>
          <w:b w:val="0"/>
          <w:color w:val="auto"/>
          <w:spacing w:val="0"/>
          <w:sz w:val="28"/>
          <w:szCs w:val="28"/>
          <w:highlight w:val="none"/>
          <w:lang w:eastAsia="zh-CN"/>
        </w:rPr>
      </w:pPr>
    </w:p>
    <w:p w14:paraId="22045996">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14:paraId="352D311B">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7D629C29">
      <w:pPr>
        <w:pStyle w:val="12"/>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 xml:space="preserve">                                           年     月     日</w:t>
      </w:r>
    </w:p>
    <w:p w14:paraId="384A3A58">
      <w:pPr>
        <w:rPr>
          <w:rFonts w:hint="eastAsia" w:ascii="宋体" w:hAnsi="宋体" w:eastAsia="宋体" w:cs="宋体"/>
          <w:color w:val="auto"/>
          <w:sz w:val="20"/>
          <w:szCs w:val="20"/>
          <w:highlight w:val="none"/>
          <w:lang w:eastAsia="zh-CN"/>
        </w:rPr>
      </w:pPr>
    </w:p>
    <w:p w14:paraId="08F009F1">
      <w:pPr>
        <w:pStyle w:val="12"/>
        <w:numPr>
          <w:ilvl w:val="0"/>
          <w:numId w:val="0"/>
        </w:numPr>
        <w:jc w:val="center"/>
        <w:outlineLvl w:val="1"/>
        <w:rPr>
          <w:rFonts w:hint="eastAsia" w:ascii="宋体" w:hAnsi="宋体" w:eastAsia="宋体" w:cs="宋体"/>
          <w:b/>
          <w:sz w:val="36"/>
          <w:lang w:val="en-US" w:eastAsia="zh-Hans"/>
        </w:rPr>
      </w:pPr>
    </w:p>
    <w:p w14:paraId="652C473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C3C7A"/>
    <w:rsid w:val="28CC3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next w:val="1"/>
    <w:qFormat/>
    <w:uiPriority w:val="0"/>
    <w:pPr>
      <w:tabs>
        <w:tab w:val="left" w:pos="8640"/>
      </w:tabs>
      <w:ind w:firstLine="420"/>
    </w:pPr>
    <w:rPr>
      <w:rFonts w:ascii="楷体_GB2312" w:eastAsia="楷体_GB2312"/>
      <w:color w:val="000000"/>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unhideWhenUsed/>
    <w:qFormat/>
    <w:uiPriority w:val="39"/>
  </w:style>
  <w:style w:type="paragraph" w:styleId="7">
    <w:name w:val="Body Text First Indent"/>
    <w:basedOn w:val="3"/>
    <w:next w:val="8"/>
    <w:qFormat/>
    <w:uiPriority w:val="99"/>
    <w:pPr>
      <w:ind w:firstLine="420" w:firstLineChars="100"/>
    </w:pPr>
  </w:style>
  <w:style w:type="paragraph" w:styleId="8">
    <w:name w:val="Body Text First Indent 2"/>
    <w:basedOn w:val="4"/>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2025-05-21T07:31:00Z</dcterms:created>
  <dc:creator>sweet</dc:creator>
  <cp:lastModifiedBy>sweet</cp:lastModifiedBy>
  <dcterms:modified xsi:type="dcterms:W3CDTF">2025-05-21T07:33:15Z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8D2F949449C14BD1BC0D242184C7E466_11</vt:lpwstr>
  </property>
  <property fmtid="{D5CDD505-2E9C-101B-9397-08002B2CF9AE}" pid="4" name="KSOTemplateDocerSaveRecord">
    <vt:lpwstr>eyJoZGlkIjoiNzY1OGRmMmY4MDEwZDE4ODdlMzMwZDU3MTYxOTBjYWUiLCJ1c2VySWQiOiIxMDg3Nzk2NDk3In0=</vt:lpwstr>
  </property>
</Properties>
</file>