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版本号：ZFXH-2025-4-00420250521001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普通干线公路养护工程前期技术咨询</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ZFXH-2025-4-004</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陕西中峰兴华工程项目管理有限公司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陕西中峰兴华工程项目管理有限公司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普通干线公路养护工程前期技术咨询</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ZFXH-2025-4-004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普通干线公路养护工程前期技术咨询</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按照技术规范及相关规范性文件要求，完成2026年拟实施普通干线公路养护大中修、路面改造、危旧桥隧改造、灾害防治工程等项目的方案设计审查等工作。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1、营业执照：供应商应具有独立法人资格；供应商为合法注册的法人或其他组织，需提供具有统一社会信用代码的营业执照，事业单位需提供事业单位法人证书。</w:t>
      </w:r>
    </w:p>
    <w:p>
      <w:pPr>
        <w:pStyle w:val="null3"/>
      </w:pPr>
      <w:r>
        <w:rPr>
          <w:rFonts w:ascii="仿宋_GB2312" w:hAnsi="仿宋_GB2312" w:cs="仿宋_GB2312" w:eastAsia="仿宋_GB2312"/>
        </w:rPr>
        <w:t>2、授权书：法定代表人参加的，须提供本人身份证复印件；法定代表人授权他人参加的须提供被授权代表身份证复印件及法定代表人委托授权书。</w:t>
      </w:r>
    </w:p>
    <w:p>
      <w:pPr>
        <w:pStyle w:val="null3"/>
      </w:pPr>
      <w:r>
        <w:rPr>
          <w:rFonts w:ascii="仿宋_GB2312" w:hAnsi="仿宋_GB2312" w:cs="仿宋_GB2312" w:eastAsia="仿宋_GB2312"/>
        </w:rPr>
        <w:t>3、信誉要求：供应商须在“全国投资项目在线审批监管平台”网站（http://new.tzxm.gov.cn/）（工程咨询单位名录）中进行备案,具备公路专业全过程工程咨询能力。</w:t>
      </w:r>
    </w:p>
    <w:p>
      <w:pPr>
        <w:pStyle w:val="null3"/>
      </w:pPr>
      <w:r>
        <w:rPr>
          <w:rFonts w:ascii="仿宋_GB2312" w:hAnsi="仿宋_GB2312" w:cs="仿宋_GB2312" w:eastAsia="仿宋_GB2312"/>
        </w:rPr>
        <w:t>4、联合体：本项目不接受联合体投标。供应商需提供承诺书。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王宣懿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88408464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陕西中峰兴华工程项目管理有限公司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陕西省西安市浐灞生态区金桥三路418号前海人寿金融中心1号楼1202室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15686092000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说明：1.乙方在签订合同之前，向甲方缴纳中标价格5%的履约保证金。 2.履约保证金的有效期为乙方承诺的服务期限。 3.履约保证金作为违约金的一部分及用于补偿甲方因乙方不能履行合同义务而蒙受的损失。 4.合同签订前，乙方须向甲方缴纳合同总金额5%的履约保证金，履约保证金待乙方履行完毕全部合同义务，并经甲方履约验收合格，无任何纠纷后无息退还。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代理服务费收费标准：代理服务费按照代理项目金额的1%收取，即普通干线公路养护工程前期技术咨询招标代理费： 采购包1：玖仟元整（¥9000.00元）；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陕西中峰兴华工程项目管理有限公司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陕西中峰兴华工程项目管理有限公司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陕西中峰兴华工程项目管理有限公司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满足现行的技术规范、规程、要求，达到采购人技术目的，通过采购人审查和验收。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陕西中峰兴华工程项目管理有限公司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陕西中峰兴华工程项目管理有限公司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陕西中峰兴华工程项目管理有限公司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联系人：许智</w:t>
      </w:r>
    </w:p>
    <w:p>
      <w:pPr>
        <w:pStyle w:val="null3"/>
      </w:pPr>
      <w:r>
        <w:rPr>
          <w:rFonts w:ascii="仿宋_GB2312" w:hAnsi="仿宋_GB2312" w:cs="仿宋_GB2312" w:eastAsia="仿宋_GB2312"/>
        </w:rPr>
        <w:t>联系电话：15686092000</w:t>
      </w:r>
    </w:p>
    <w:p>
      <w:pPr>
        <w:pStyle w:val="null3"/>
      </w:pPr>
      <w:r>
        <w:rPr>
          <w:rFonts w:ascii="仿宋_GB2312" w:hAnsi="仿宋_GB2312" w:cs="仿宋_GB2312" w:eastAsia="仿宋_GB2312"/>
        </w:rPr>
        <w:t>地址：陕西省西安市浐灞生态区金桥三路418号前海人寿金融中心1号楼1202室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按照技术规范及相关规范性文件要求，完成2026年拟实施普通干线公路养护大中修、路面改造、危旧桥隧改造、灾害防治工程等项目的方案设计审查等工作。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普通干线公路养护工程前期技术咨询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标的名称：普通干线公路养护工程前期技术咨询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一、总则</w:t>
            </w:r>
          </w:p>
          <w:p>
            <w:pPr>
              <w:pStyle w:val="null3"/>
            </w:pPr>
            <w:r>
              <w:rPr>
                <w:rFonts w:ascii="仿宋_GB2312" w:hAnsi="仿宋_GB2312" w:cs="仿宋_GB2312" w:eastAsia="仿宋_GB2312"/>
              </w:rPr>
              <w:t>1.方案设计审查工作应按照供应商对方案设计文件进行符合性审查、文件审查，组织现场审查，供应商提交咨询报告的程序进行。</w:t>
            </w:r>
          </w:p>
          <w:p>
            <w:pPr>
              <w:pStyle w:val="null3"/>
            </w:pPr>
            <w:r>
              <w:rPr>
                <w:rFonts w:ascii="仿宋_GB2312" w:hAnsi="仿宋_GB2312" w:cs="仿宋_GB2312" w:eastAsia="仿宋_GB2312"/>
              </w:rPr>
              <w:t>2.技术咨询过程中的文件交接、重大问题沟通实行痕迹管理，关键环节的文件提交、意见交流等，应通过签字、传真或邮件等方式加以确认。</w:t>
            </w:r>
          </w:p>
          <w:p>
            <w:pPr>
              <w:pStyle w:val="null3"/>
            </w:pPr>
            <w:r>
              <w:rPr>
                <w:rFonts w:ascii="仿宋_GB2312" w:hAnsi="仿宋_GB2312" w:cs="仿宋_GB2312" w:eastAsia="仿宋_GB2312"/>
              </w:rPr>
              <w:t>3.供应商应严格执行国家有关规定，不得转嫁咨询技术咨询工作成本。</w:t>
            </w:r>
          </w:p>
          <w:p>
            <w:pPr>
              <w:pStyle w:val="null3"/>
            </w:pPr>
            <w:r>
              <w:rPr>
                <w:rFonts w:ascii="仿宋_GB2312" w:hAnsi="仿宋_GB2312" w:cs="仿宋_GB2312" w:eastAsia="仿宋_GB2312"/>
              </w:rPr>
              <w:t>二、对供应商的总体要求</w:t>
            </w:r>
          </w:p>
          <w:p>
            <w:pPr>
              <w:pStyle w:val="null3"/>
            </w:pPr>
            <w:r>
              <w:rPr>
                <w:rFonts w:ascii="仿宋_GB2312" w:hAnsi="仿宋_GB2312" w:cs="仿宋_GB2312" w:eastAsia="仿宋_GB2312"/>
              </w:rPr>
              <w:t>1.承担技术咨询任务的供应商，应结合本单位管理模式和采购人技术咨询任务的要求，在企业内部明确相应的技术咨询部门,建立明确的采购人技术咨询任务内部管理模式，理顺工作关系，建立健全质量保证体系，保证审查工作质量和进度。</w:t>
            </w:r>
          </w:p>
          <w:p>
            <w:pPr>
              <w:pStyle w:val="null3"/>
            </w:pPr>
            <w:r>
              <w:rPr>
                <w:rFonts w:ascii="仿宋_GB2312" w:hAnsi="仿宋_GB2312" w:cs="仿宋_GB2312" w:eastAsia="仿宋_GB2312"/>
              </w:rPr>
              <w:t>2.供应商应明确足够的、相对固定的技术人员，作为完成采购人技术咨询任务的基本力量。技术人员基本情况及变动情况在 招标后发生变化时，应及时报采购人备案。供应商应加强对参与采购人技术咨询任务技术人员（以下简称“审查人员”）的廉政、职业道德、法律知识和业务培训。</w:t>
            </w:r>
          </w:p>
          <w:p>
            <w:pPr>
              <w:pStyle w:val="null3"/>
            </w:pPr>
            <w:r>
              <w:rPr>
                <w:rFonts w:ascii="仿宋_GB2312" w:hAnsi="仿宋_GB2312" w:cs="仿宋_GB2312" w:eastAsia="仿宋_GB2312"/>
              </w:rPr>
              <w:t>3.审查人员应当遵守国家法律法规，坚持原则，恪守职业道德，客观公正，责任心强，专业素质高，掌握公路工程技术标准 、规范和有关技术政策，积极学习和了解国外先进的公路工程设计、施工和管理技术，能够熟练运用成熟技术和现代工程管 理理念。</w:t>
            </w:r>
          </w:p>
          <w:p>
            <w:pPr>
              <w:pStyle w:val="null3"/>
            </w:pPr>
            <w:r>
              <w:rPr>
                <w:rFonts w:ascii="仿宋_GB2312" w:hAnsi="仿宋_GB2312" w:cs="仿宋_GB2312" w:eastAsia="仿宋_GB2312"/>
              </w:rPr>
              <w:t>4.供应商不得参与其承担技术咨询服务项目的其他任何采购活动。</w:t>
            </w:r>
          </w:p>
          <w:p>
            <w:pPr>
              <w:pStyle w:val="null3"/>
            </w:pPr>
            <w:r>
              <w:rPr>
                <w:rFonts w:ascii="仿宋_GB2312" w:hAnsi="仿宋_GB2312" w:cs="仿宋_GB2312" w:eastAsia="仿宋_GB2312"/>
              </w:rPr>
              <w:t>三、符合性审查</w:t>
            </w:r>
          </w:p>
          <w:p>
            <w:pPr>
              <w:pStyle w:val="null3"/>
            </w:pPr>
            <w:r>
              <w:rPr>
                <w:rFonts w:ascii="仿宋_GB2312" w:hAnsi="仿宋_GB2312" w:cs="仿宋_GB2312" w:eastAsia="仿宋_GB2312"/>
              </w:rPr>
              <w:t>1.符合性审查的内容主要包括：</w:t>
            </w:r>
          </w:p>
          <w:p>
            <w:pPr>
              <w:pStyle w:val="null3"/>
            </w:pPr>
            <w:r>
              <w:rPr>
                <w:rFonts w:ascii="仿宋_GB2312" w:hAnsi="仿宋_GB2312" w:cs="仿宋_GB2312" w:eastAsia="仿宋_GB2312"/>
              </w:rPr>
              <w:t>（</w:t>
            </w:r>
            <w:r>
              <w:rPr>
                <w:rFonts w:ascii="仿宋_GB2312" w:hAnsi="仿宋_GB2312" w:cs="仿宋_GB2312" w:eastAsia="仿宋_GB2312"/>
              </w:rPr>
              <w:t>1）项目政策执行情况，土地、环评等项目前置审批是否已完成。</w:t>
            </w:r>
          </w:p>
          <w:p>
            <w:pPr>
              <w:pStyle w:val="null3"/>
            </w:pPr>
            <w:r>
              <w:rPr>
                <w:rFonts w:ascii="仿宋_GB2312" w:hAnsi="仿宋_GB2312" w:cs="仿宋_GB2312" w:eastAsia="仿宋_GB2312"/>
              </w:rPr>
              <w:t>（</w:t>
            </w:r>
            <w:r>
              <w:rPr>
                <w:rFonts w:ascii="仿宋_GB2312" w:hAnsi="仿宋_GB2312" w:cs="仿宋_GB2312" w:eastAsia="仿宋_GB2312"/>
              </w:rPr>
              <w:t>2）设计文件完整性是否满足相关要求。</w:t>
            </w:r>
          </w:p>
          <w:p>
            <w:pPr>
              <w:pStyle w:val="null3"/>
            </w:pPr>
            <w:r>
              <w:rPr>
                <w:rFonts w:ascii="仿宋_GB2312" w:hAnsi="仿宋_GB2312" w:cs="仿宋_GB2312" w:eastAsia="仿宋_GB2312"/>
              </w:rPr>
              <w:t>（</w:t>
            </w:r>
            <w:r>
              <w:rPr>
                <w:rFonts w:ascii="仿宋_GB2312" w:hAnsi="仿宋_GB2312" w:cs="仿宋_GB2312" w:eastAsia="仿宋_GB2312"/>
              </w:rPr>
              <w:t>3）建设规模、技术标准、概算等是否符合方案设计要求和《公路工程技术标准》的规定。</w:t>
            </w:r>
          </w:p>
          <w:p>
            <w:pPr>
              <w:pStyle w:val="null3"/>
            </w:pPr>
            <w:r>
              <w:rPr>
                <w:rFonts w:ascii="仿宋_GB2312" w:hAnsi="仿宋_GB2312" w:cs="仿宋_GB2312" w:eastAsia="仿宋_GB2312"/>
              </w:rPr>
              <w:t>（</w:t>
            </w:r>
            <w:r>
              <w:rPr>
                <w:rFonts w:ascii="仿宋_GB2312" w:hAnsi="仿宋_GB2312" w:cs="仿宋_GB2312" w:eastAsia="仿宋_GB2312"/>
              </w:rPr>
              <w:t>4）设计文件是否按照国家现行有关方针政策、法律、法规、标准及规范要求编制，是否满足先进、适用、安全、节能、 消防、环境、美观、经济的原则。</w:t>
            </w:r>
          </w:p>
          <w:p>
            <w:pPr>
              <w:pStyle w:val="null3"/>
            </w:pPr>
            <w:r>
              <w:rPr>
                <w:rFonts w:ascii="仿宋_GB2312" w:hAnsi="仿宋_GB2312" w:cs="仿宋_GB2312" w:eastAsia="仿宋_GB2312"/>
              </w:rPr>
              <w:t>四、设计文件审查</w:t>
            </w:r>
          </w:p>
          <w:p>
            <w:pPr>
              <w:pStyle w:val="null3"/>
            </w:pPr>
            <w:r>
              <w:rPr>
                <w:rFonts w:ascii="仿宋_GB2312" w:hAnsi="仿宋_GB2312" w:cs="仿宋_GB2312" w:eastAsia="仿宋_GB2312"/>
              </w:rPr>
              <w:t>1.方案设计文件审查应按照“ 安全、耐久、节约、和谐” 的原则，围绕保证项目建设、运营安全，合理使用资金和资源，最大 限度的保护公众利益，使公路基础设施能够更好的为经济社会发展和出行需求服务这一目标，对方案合理性、运行安全性、 结构可靠性和投资控制情况进行审查。审查工作主要应包括但不限于以下内容：</w:t>
            </w:r>
          </w:p>
          <w:p>
            <w:pPr>
              <w:pStyle w:val="null3"/>
            </w:pPr>
            <w:r>
              <w:rPr>
                <w:rFonts w:ascii="仿宋_GB2312" w:hAnsi="仿宋_GB2312" w:cs="仿宋_GB2312" w:eastAsia="仿宋_GB2312"/>
              </w:rPr>
              <w:t>（</w:t>
            </w:r>
            <w:r>
              <w:rPr>
                <w:rFonts w:ascii="仿宋_GB2312" w:hAnsi="仿宋_GB2312" w:cs="仿宋_GB2312" w:eastAsia="仿宋_GB2312"/>
              </w:rPr>
              <w:t>1）总体设计原则和思路的合理性，与建设环境和公路功能的适应性。</w:t>
            </w:r>
          </w:p>
          <w:p>
            <w:pPr>
              <w:pStyle w:val="null3"/>
            </w:pPr>
            <w:r>
              <w:rPr>
                <w:rFonts w:ascii="仿宋_GB2312" w:hAnsi="仿宋_GB2312" w:cs="仿宋_GB2312" w:eastAsia="仿宋_GB2312"/>
              </w:rPr>
              <w:t>（</w:t>
            </w:r>
            <w:r>
              <w:rPr>
                <w:rFonts w:ascii="仿宋_GB2312" w:hAnsi="仿宋_GB2312" w:cs="仿宋_GB2312" w:eastAsia="仿宋_GB2312"/>
              </w:rPr>
              <w:t>2）设计依据的基本资料是否完整、准确、可靠。</w:t>
            </w:r>
          </w:p>
          <w:p>
            <w:pPr>
              <w:pStyle w:val="null3"/>
            </w:pPr>
            <w:r>
              <w:rPr>
                <w:rFonts w:ascii="仿宋_GB2312" w:hAnsi="仿宋_GB2312" w:cs="仿宋_GB2312" w:eastAsia="仿宋_GB2312"/>
              </w:rPr>
              <w:t>（</w:t>
            </w:r>
            <w:r>
              <w:rPr>
                <w:rFonts w:ascii="仿宋_GB2312" w:hAnsi="仿宋_GB2312" w:cs="仿宋_GB2312" w:eastAsia="仿宋_GB2312"/>
              </w:rPr>
              <w:t>3）方案比选的合理性和全面性，技术指标运用的合理性。</w:t>
            </w:r>
          </w:p>
          <w:p>
            <w:pPr>
              <w:pStyle w:val="null3"/>
            </w:pPr>
            <w:r>
              <w:rPr>
                <w:rFonts w:ascii="仿宋_GB2312" w:hAnsi="仿宋_GB2312" w:cs="仿宋_GB2312" w:eastAsia="仿宋_GB2312"/>
              </w:rPr>
              <w:t>（</w:t>
            </w:r>
            <w:r>
              <w:rPr>
                <w:rFonts w:ascii="仿宋_GB2312" w:hAnsi="仿宋_GB2312" w:cs="仿宋_GB2312" w:eastAsia="仿宋_GB2312"/>
              </w:rPr>
              <w:t>4）设计文件编制深度和格式，附件、协议等资料的齐全、完备情况。专业间设计的协调性，设计界面衔接情况，设计与</w:t>
            </w:r>
          </w:p>
          <w:p>
            <w:pPr>
              <w:pStyle w:val="null3"/>
            </w:pPr>
            <w:r>
              <w:rPr>
                <w:rFonts w:ascii="仿宋_GB2312" w:hAnsi="仿宋_GB2312" w:cs="仿宋_GB2312" w:eastAsia="仿宋_GB2312"/>
              </w:rPr>
              <w:t>外业勘察成果的衔接情况。</w:t>
            </w:r>
          </w:p>
          <w:p>
            <w:pPr>
              <w:pStyle w:val="null3"/>
            </w:pPr>
            <w:r>
              <w:rPr>
                <w:rFonts w:ascii="仿宋_GB2312" w:hAnsi="仿宋_GB2312" w:cs="仿宋_GB2312" w:eastAsia="仿宋_GB2312"/>
              </w:rPr>
              <w:t>（</w:t>
            </w:r>
            <w:r>
              <w:rPr>
                <w:rFonts w:ascii="仿宋_GB2312" w:hAnsi="仿宋_GB2312" w:cs="仿宋_GB2312" w:eastAsia="仿宋_GB2312"/>
              </w:rPr>
              <w:t>5）结构安全、耐久性。</w:t>
            </w:r>
          </w:p>
          <w:p>
            <w:pPr>
              <w:pStyle w:val="null3"/>
            </w:pPr>
            <w:r>
              <w:rPr>
                <w:rFonts w:ascii="仿宋_GB2312" w:hAnsi="仿宋_GB2312" w:cs="仿宋_GB2312" w:eastAsia="仿宋_GB2312"/>
              </w:rPr>
              <w:t>（</w:t>
            </w:r>
            <w:r>
              <w:rPr>
                <w:rFonts w:ascii="仿宋_GB2312" w:hAnsi="仿宋_GB2312" w:cs="仿宋_GB2312" w:eastAsia="仿宋_GB2312"/>
              </w:rPr>
              <w:t>6）概算定额套用、人工和材料单价以及费率取值的合理性，征地拆迁等工程建设其他费用取费依据的完备性和取费合理 性。</w:t>
            </w:r>
          </w:p>
          <w:p>
            <w:pPr>
              <w:pStyle w:val="null3"/>
            </w:pPr>
            <w:r>
              <w:rPr>
                <w:rFonts w:ascii="仿宋_GB2312" w:hAnsi="仿宋_GB2312" w:cs="仿宋_GB2312" w:eastAsia="仿宋_GB2312"/>
              </w:rPr>
              <w:t>2.审查过程中发现设计文件存在以下问题的，应及时与设计单位沟通核实。问题确认后，应及时报采购人，并提出处理建议 。采购人将根据具体情况，要求设计单位补充完善，或退回要求重新修改后再次预审、报送。</w:t>
            </w:r>
          </w:p>
          <w:p>
            <w:pPr>
              <w:pStyle w:val="null3"/>
            </w:pPr>
            <w:r>
              <w:rPr>
                <w:rFonts w:ascii="仿宋_GB2312" w:hAnsi="仿宋_GB2312" w:cs="仿宋_GB2312" w:eastAsia="仿宋_GB2312"/>
              </w:rPr>
              <w:t>（</w:t>
            </w:r>
            <w:r>
              <w:rPr>
                <w:rFonts w:ascii="仿宋_GB2312" w:hAnsi="仿宋_GB2312" w:cs="仿宋_GB2312" w:eastAsia="仿宋_GB2312"/>
              </w:rPr>
              <w:t>1）总体设计不合理，与建设条件适应性差，或不能满足项目的功能要求；</w:t>
            </w:r>
          </w:p>
          <w:p>
            <w:pPr>
              <w:pStyle w:val="null3"/>
            </w:pPr>
            <w:r>
              <w:rPr>
                <w:rFonts w:ascii="仿宋_GB2312" w:hAnsi="仿宋_GB2312" w:cs="仿宋_GB2312" w:eastAsia="仿宋_GB2312"/>
              </w:rPr>
              <w:t>（</w:t>
            </w:r>
            <w:r>
              <w:rPr>
                <w:rFonts w:ascii="仿宋_GB2312" w:hAnsi="仿宋_GB2312" w:cs="仿宋_GB2312" w:eastAsia="仿宋_GB2312"/>
              </w:rPr>
              <w:t>2）方案比选不充分，遗漏重大有价值的技术方案；</w:t>
            </w:r>
          </w:p>
          <w:p>
            <w:pPr>
              <w:pStyle w:val="null3"/>
            </w:pPr>
            <w:r>
              <w:rPr>
                <w:rFonts w:ascii="仿宋_GB2312" w:hAnsi="仿宋_GB2312" w:cs="仿宋_GB2312" w:eastAsia="仿宋_GB2312"/>
              </w:rPr>
              <w:t>（</w:t>
            </w:r>
            <w:r>
              <w:rPr>
                <w:rFonts w:ascii="仿宋_GB2312" w:hAnsi="仿宋_GB2312" w:cs="仿宋_GB2312" w:eastAsia="仿宋_GB2312"/>
              </w:rPr>
              <w:t>3）设计工作与实际路况出现严重脱节；</w:t>
            </w:r>
          </w:p>
          <w:p>
            <w:pPr>
              <w:pStyle w:val="null3"/>
            </w:pPr>
            <w:r>
              <w:rPr>
                <w:rFonts w:ascii="仿宋_GB2312" w:hAnsi="仿宋_GB2312" w:cs="仿宋_GB2312" w:eastAsia="仿宋_GB2312"/>
              </w:rPr>
              <w:t>（</w:t>
            </w:r>
            <w:r>
              <w:rPr>
                <w:rFonts w:ascii="仿宋_GB2312" w:hAnsi="仿宋_GB2312" w:cs="仿宋_GB2312" w:eastAsia="仿宋_GB2312"/>
              </w:rPr>
              <w:t>4）设计文件编制质量差，错漏多。</w:t>
            </w:r>
          </w:p>
          <w:p>
            <w:pPr>
              <w:pStyle w:val="null3"/>
            </w:pPr>
            <w:r>
              <w:rPr>
                <w:rFonts w:ascii="仿宋_GB2312" w:hAnsi="仿宋_GB2312" w:cs="仿宋_GB2312" w:eastAsia="仿宋_GB2312"/>
              </w:rPr>
              <w:t>五、现场审查</w:t>
            </w:r>
          </w:p>
          <w:p>
            <w:pPr>
              <w:pStyle w:val="null3"/>
            </w:pPr>
            <w:r>
              <w:rPr>
                <w:rFonts w:ascii="仿宋_GB2312" w:hAnsi="仿宋_GB2312" w:cs="仿宋_GB2312" w:eastAsia="仿宋_GB2312"/>
              </w:rPr>
              <w:t>1.现场审查工作在设计文件审查完成后进行，由采购人主持。现场审查应听取设计单位的设计情况汇报，对重要工点和有争 议的工点进行现场踏查，现场完成审查意见。</w:t>
            </w:r>
          </w:p>
          <w:p>
            <w:pPr>
              <w:pStyle w:val="null3"/>
            </w:pPr>
            <w:r>
              <w:rPr>
                <w:rFonts w:ascii="仿宋_GB2312" w:hAnsi="仿宋_GB2312" w:cs="仿宋_GB2312" w:eastAsia="仿宋_GB2312"/>
              </w:rPr>
              <w:t>六、提交咨询报告</w:t>
            </w:r>
          </w:p>
          <w:p>
            <w:pPr>
              <w:pStyle w:val="null3"/>
            </w:pPr>
            <w:r>
              <w:rPr>
                <w:rFonts w:ascii="仿宋_GB2312" w:hAnsi="仿宋_GB2312" w:cs="仿宋_GB2312" w:eastAsia="仿宋_GB2312"/>
              </w:rPr>
              <w:t>1.咨询报告应结构清晰，内容精干，符合国家有关政策导向。能够清晰描述工程全貌，准确定性设计存在的问题，明确提出 对相关技术问题的意见。提出的建议应科学合理、论证清晰。报告格式符合采购人要求。</w:t>
            </w:r>
          </w:p>
          <w:p>
            <w:pPr>
              <w:pStyle w:val="null3"/>
            </w:pPr>
            <w:r>
              <w:rPr>
                <w:rFonts w:ascii="仿宋_GB2312" w:hAnsi="仿宋_GB2312" w:cs="仿宋_GB2312" w:eastAsia="仿宋_GB2312"/>
              </w:rPr>
              <w:t>2.咨询报告分两阶段提交，方案设计阶段提交方案设计咨询报告，施工图阶段提交施工图设计咨询报告。</w:t>
            </w:r>
          </w:p>
          <w:p>
            <w:pPr>
              <w:pStyle w:val="null3"/>
            </w:pPr>
            <w:r>
              <w:rPr>
                <w:rFonts w:ascii="仿宋_GB2312" w:hAnsi="仿宋_GB2312" w:cs="仿宋_GB2312" w:eastAsia="仿宋_GB2312"/>
              </w:rPr>
              <w:t>七、提交总结报告</w:t>
            </w:r>
          </w:p>
          <w:p>
            <w:pPr>
              <w:pStyle w:val="null3"/>
            </w:pPr>
            <w:r>
              <w:rPr>
                <w:rFonts w:ascii="仿宋_GB2312" w:hAnsi="仿宋_GB2312" w:cs="仿宋_GB2312" w:eastAsia="仿宋_GB2312"/>
              </w:rPr>
              <w:t>1.收到正式咨询报告后，采购人相关承办人应对咨询报告内容进行核查，对存在问题和不足的，应要求供应商予以补充和完善。</w:t>
            </w:r>
          </w:p>
          <w:p>
            <w:pPr>
              <w:pStyle w:val="null3"/>
            </w:pPr>
            <w:r>
              <w:rPr>
                <w:rFonts w:ascii="仿宋_GB2312" w:hAnsi="仿宋_GB2312" w:cs="仿宋_GB2312" w:eastAsia="仿宋_GB2312"/>
              </w:rPr>
              <w:t>2.采购人可以组织专家或通过后评价，对技术咨询报告的质量进行评价，对技术咨询的过程进行检查。</w:t>
            </w:r>
          </w:p>
          <w:p>
            <w:pPr>
              <w:pStyle w:val="null3"/>
            </w:pPr>
            <w:r>
              <w:rPr>
                <w:rFonts w:ascii="仿宋_GB2312" w:hAnsi="仿宋_GB2312" w:cs="仿宋_GB2312" w:eastAsia="仿宋_GB2312"/>
              </w:rPr>
              <w:t>3.咨询单位应从设计单位人员投入、设计质量、政策技术标准执行等方面，按优秀、良好、一般各占约30%比例，对设计单 位进行评价排名，并提供书面意见。</w:t>
            </w:r>
          </w:p>
          <w:p>
            <w:pPr>
              <w:pStyle w:val="null3"/>
              <w:jc w:val="both"/>
            </w:pPr>
            <w:r>
              <w:rPr>
                <w:rFonts w:ascii="仿宋_GB2312" w:hAnsi="仿宋_GB2312" w:cs="仿宋_GB2312" w:eastAsia="仿宋_GB2312"/>
                <w:sz w:val="21"/>
              </w:rPr>
              <w:t>4.总结报告内容包括但不限于项目概况、工程投资、设计质量评价、存在的问题、工作改进建议等内容。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根据竟争性磋商文件要求及合同约定执行。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根据竟争性磋商文件要求及合同约定执行。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根据竟争性磋商文件要求及合同约定执行。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合同签订后一年内有效。单项咨询任务下达后，需15个工作日内出具正式咨询意见，供应商完成年度咨询任务并满足验 收标准后，方可提交验收申请。</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完成合同约定的全部内容，并向采购人提交项目实施过程中的所有资料,以便采购人日后管理和维护该项目。各项成果资料满足国家现行的相关技术标准、规范、规程等以及我省公路养护管理相关规定。所提交的咨询报告能作为普通干线公路养护工程项目出具省级审查意见的依据。 单项咨询任务下达后，须15个工作日内出具正式咨询意见，供应商完成年度咨询任务并满足验收标准后，方可提交验收申请。 2.采购人确认供应商能够达到合同约定要求后，组织供应商（必要时请有关专家）进行项目验收。供应商提交合同履约情况总结报告，并经采购人确认。验收合格后，填写项目验收单作为对项目的最终认可。 3.验收依据：①本合同及附件文本；②竞争性磋商文件、磋商响应文件、澄清表（函）；③国家相应的标准、规范。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甲方收到履约保证金及增值税普通发票后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乙方完成全部合同内容，提交项目年度咨询报告经甲方确认合格，且作为普通公路建养项目出具省级审查意见的依据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4.乙方逾期完成服务的，每逾期一日，向甲方承担合同总价款0.3%的违约金，逾期30日的，甲方有权单方解除本合同且保留追究乙方违约责任的权利，给甲方造成损失的，乙方还应予以赔偿。 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 6.乙方应保证其提交的服务成果不存在侵犯他人权益的情形，否则，因此引发的责任及纠纷由乙方承担，对甲方造成损失的，乙方应予以赔偿，此外，乙方还应向甲方承担合同总价款20%的惩罚性违约金。 7.乙方应对其服务及服务成果的合法性、科学性、有效性、客观性、真实性负责，否则，相关责任及纠纷由乙方承担，对甲方造成损失的，乙方应予赔偿，此外，乙方还应向甲方承担合同总价款10%的违约金。 8.乙方对工作中了解到的甲方的技术、数据、机密等进行严格保密，不得向他人泄漏。本合同的解除或终止不免除乙方应承担的保密义务。乙方违反保密规定的，除承担法律责任外，还应向甲方支付合同额20%的惩罚性违约金，违约金不足以弥补甲方损失的，乙方还应予以赔偿。 解决争议的方法：在履行本合同的过程中发生争议，双方当事人经友好协商仍无法达成一致的，任何一方有权向甲方所在地具有管辖权的法院起诉。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质量保证： （1）保证技术指标先进、质量性能可靠，全面满足采购要求。 （2）符合国家有关规范要求。 （3）响应文件满足竞争性磋商文件全部实质性要求，采用综合评分法，评标结果按评审后得分由高到低顺序排列；评审得分相同的，按照报价由低到高顺序排列；评审得分且最后报价相同的，按照技术指标优劣顺序推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供应商提供2023或2024年度经审计财务会计报告（成立时间至提交响应文件截止时 间不足一年的可提供成立后任意时段的资产负债表），或提交自磋商响应截止之日前3个月内银行出具的资信证明，或信用担保机构出具的投标担保函（以上三种形式的资料提供任何一种即可）； 其他组织和自然人提供银行出具的资信证明或财务报表或提供承诺函，供应商需在项目电子化交易系统中按要求上传相应证明文件并进行电子签章。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承诺书.docx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供应商应具有独立法人资格；供应商为合法注册的法人或其他组织，需提供具有统一社会信用代码的营业执照，事业单位需提供事业单位法人证书。</w:t>
            </w:r>
          </w:p>
        </w:tc>
        <w:tc>
          <w:tcPr>
            <w:tcW w:type="dxa" w:w="1661"/>
          </w:tcPr>
          <w:p>
            <w:pPr>
              <w:pStyle w:val="null3"/>
            </w:pPr>
            <w:r>
              <w:rPr>
                <w:rFonts w:ascii="仿宋_GB2312" w:hAnsi="仿宋_GB2312" w:cs="仿宋_GB2312" w:eastAsia="仿宋_GB2312"/>
              </w:rPr>
              <w:t>承诺书.docx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法定代表人参加的，须提供本人身份证复印件；法定代表人授权他人参加的须提供被授权代表身份证复印件及法定代表人委托授权书。</w:t>
            </w:r>
          </w:p>
        </w:tc>
        <w:tc>
          <w:tcPr>
            <w:tcW w:type="dxa" w:w="1661"/>
          </w:tcPr>
          <w:p>
            <w:pPr>
              <w:pStyle w:val="null3"/>
            </w:pPr>
            <w:r>
              <w:rPr>
                <w:rFonts w:ascii="仿宋_GB2312" w:hAnsi="仿宋_GB2312" w:cs="仿宋_GB2312" w:eastAsia="仿宋_GB2312"/>
              </w:rPr>
              <w:t>承诺书.docx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供应商须在“全国投资项目在线审批监管平台”网站（http://new.tzxm.gov.cn/）（工程咨询单位名录）中进行备案,具备公路专业全过程工程咨询能力。</w:t>
            </w:r>
          </w:p>
        </w:tc>
        <w:tc>
          <w:tcPr>
            <w:tcW w:type="dxa" w:w="1661"/>
          </w:tcPr>
          <w:p>
            <w:pPr>
              <w:pStyle w:val="null3"/>
            </w:pPr>
            <w:r>
              <w:rPr>
                <w:rFonts w:ascii="仿宋_GB2312" w:hAnsi="仿宋_GB2312" w:cs="仿宋_GB2312" w:eastAsia="仿宋_GB2312"/>
              </w:rPr>
              <w:t>承诺书.docx 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本项目不接受联合体投标。供应商需提供承诺书。</w:t>
            </w:r>
          </w:p>
        </w:tc>
        <w:tc>
          <w:tcPr>
            <w:tcW w:type="dxa" w:w="1661"/>
          </w:tcPr>
          <w:p>
            <w:pPr>
              <w:pStyle w:val="null3"/>
            </w:pPr>
            <w:r>
              <w:rPr>
                <w:rFonts w:ascii="仿宋_GB2312" w:hAnsi="仿宋_GB2312" w:cs="仿宋_GB2312" w:eastAsia="仿宋_GB2312"/>
              </w:rPr>
              <w:t>承诺书.docx 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商务响应偏离表.docx 中小企业声明函 残疾人福利性单位声明函 服务响应偏离表.docx 服务方案 标的清单 承诺书.docx 供应商资格证明文件.docx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有下列情形之一的，视为供应商相互恶意串通，响应文件无效：（1）不同供应商的响应文件由同一单位或者个人编制；（2）不同供应商委托同一单位或者个人办理磋商事宜；（3）不同供应商的响应文件载明的项目管理成员为同一人；（4）不同供应商的响应文件异常一致或者磋商报价呈规律性差异；（5）不同供应商的响应文件相互混装；（6）不同供应商的磋商保证金从同一单位或者个人的账户转出（仅限供应商须知前附表要求供应商提交磋商保证金的）。</w:t>
            </w:r>
          </w:p>
        </w:tc>
        <w:tc>
          <w:tcPr>
            <w:tcW w:type="dxa" w:w="1661"/>
          </w:tcPr>
          <w:p>
            <w:pPr>
              <w:pStyle w:val="null3"/>
            </w:pPr>
            <w:r>
              <w:rPr>
                <w:rFonts w:ascii="仿宋_GB2312" w:hAnsi="仿宋_GB2312" w:cs="仿宋_GB2312" w:eastAsia="仿宋_GB2312"/>
              </w:rPr>
              <w:t>响应文件封面 商务响应偏离表.docx 中小企业声明函 残疾人福利性单位声明函 服务响应偏离表.docx 服务方案 标的清单 承诺书.docx 报价表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竞争性磋商按磋商文件要求电子签章</w:t>
            </w:r>
          </w:p>
        </w:tc>
        <w:tc>
          <w:tcPr>
            <w:tcW w:type="dxa" w:w="3322"/>
          </w:tcPr>
          <w:p>
            <w:pPr>
              <w:pStyle w:val="null3"/>
            </w:pPr>
            <w:r>
              <w:rPr>
                <w:rFonts w:ascii="仿宋_GB2312" w:hAnsi="仿宋_GB2312" w:cs="仿宋_GB2312" w:eastAsia="仿宋_GB2312"/>
              </w:rPr>
              <w:t>供应商应按竞争性磋商文件要求对招标文件进行电子签章。</w:t>
            </w:r>
          </w:p>
        </w:tc>
        <w:tc>
          <w:tcPr>
            <w:tcW w:type="dxa" w:w="1661"/>
          </w:tcPr>
          <w:p>
            <w:pPr>
              <w:pStyle w:val="null3"/>
            </w:pPr>
            <w:r>
              <w:rPr>
                <w:rFonts w:ascii="仿宋_GB2312" w:hAnsi="仿宋_GB2312" w:cs="仿宋_GB2312" w:eastAsia="仿宋_GB2312"/>
              </w:rPr>
              <w:t>响应文件封面 商务响应偏离表.docx 中小企业声明函 残疾人福利性单位声明函 服务响应偏离表.docx 服务方案 标的清单 承诺书.docx 报价表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商务响应偏离表.docx 中小企业声明函 残疾人福利性单位声明函 服务响应偏离表.docx 服务方案 承诺书.docx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应满足磋商文件的实质性要求</w:t>
            </w:r>
          </w:p>
        </w:tc>
        <w:tc>
          <w:tcPr>
            <w:tcW w:type="dxa" w:w="3322"/>
          </w:tcPr>
          <w:p>
            <w:pPr>
              <w:pStyle w:val="null3"/>
            </w:pPr>
            <w:r>
              <w:rPr>
                <w:rFonts w:ascii="仿宋_GB2312" w:hAnsi="仿宋_GB2312" w:cs="仿宋_GB2312" w:eastAsia="仿宋_GB2312"/>
              </w:rPr>
              <w:t>响应文件应满足竞争性磋商文件规定的实质性要求。</w:t>
            </w:r>
          </w:p>
        </w:tc>
        <w:tc>
          <w:tcPr>
            <w:tcW w:type="dxa" w:w="1661"/>
          </w:tcPr>
          <w:p>
            <w:pPr>
              <w:pStyle w:val="null3"/>
            </w:pPr>
            <w:r>
              <w:rPr>
                <w:rFonts w:ascii="仿宋_GB2312" w:hAnsi="仿宋_GB2312" w:cs="仿宋_GB2312" w:eastAsia="仿宋_GB2312"/>
              </w:rPr>
              <w:t>响应文件封面 商务响应偏离表.docx 中小企业声明函 残疾人福利性单位声明函 服务响应偏离表.docx 服务方案 标的清单 承诺书.docx 报价表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响应文件封面 商务响应偏离表.docx 中小企业声明函 残疾人福利性单位声明函 服务响应偏离表.docx 服务方案 标的清单 承诺书.docx 报价表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商务响应偏离表.docx 中小企业声明函 残疾人福利性单位声明函 服务响应偏离表.docx 服务方案 标的清单 承诺书.docx 供应商资格证明文件.docx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响应文件封面 商务响应偏离表.docx 中小企业声明函 残疾人福利性单位声明函 服务响应偏离表.docx 服务方案 标的清单 承诺书.docx 报价表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咨询工作范围、服务工作的理解</w:t>
            </w:r>
          </w:p>
        </w:tc>
        <w:tc>
          <w:tcPr>
            <w:tcW w:type="dxa" w:w="2492"/>
          </w:tcPr>
          <w:p>
            <w:pPr>
              <w:pStyle w:val="null3"/>
            </w:pPr>
            <w:r>
              <w:rPr>
                <w:rFonts w:ascii="仿宋_GB2312" w:hAnsi="仿宋_GB2312" w:cs="仿宋_GB2312" w:eastAsia="仿宋_GB2312"/>
              </w:rPr>
              <w:t>对本项目设计咨询工作范围、服务工作的理解和策划。 1.对技术咨询工作内容进行了详细的分析和策划；咨询服务工作的理解科学合理、准确，得10分； 2.对技术咨询工作内容有较详细的分析和策划；咨询服务工作的理解较科学合理、准确，得8分； 3.对技术咨询工作内容分析和策划一般；咨询服务工作的理解基本到位，得5分； 4.分析和策划内容不够完善，咨询服务工作的理解存在偏差，得2分； 5.未提供此项得0分。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咨询组织机构及人员配置</w:t>
            </w:r>
          </w:p>
        </w:tc>
        <w:tc>
          <w:tcPr>
            <w:tcW w:type="dxa" w:w="2492"/>
          </w:tcPr>
          <w:p>
            <w:pPr>
              <w:pStyle w:val="null3"/>
            </w:pPr>
            <w:r>
              <w:rPr>
                <w:rFonts w:ascii="仿宋_GB2312" w:hAnsi="仿宋_GB2312" w:cs="仿宋_GB2312" w:eastAsia="仿宋_GB2312"/>
              </w:rPr>
              <w:t>对本项目咨询组织机构及人员配置安排： 1.咨询组织机构及各专业人员配置，齐全、科学、合理，切实可行，满足采购人需求得10分； 2.咨询组织机构及各专业人员配置，较齐全、较合理，各专业配合协调措施较完善，针对性较强，可行性较高，得8分； 3.咨询组织机构及各专业人员配置部署，一般，各专业配合协调措施不够完善，可行性一般，得5分； 4.咨询组织机构及各专业人员配置不完善，责任不清晰，针对性不强，得2分； 5.未提供此项不得分。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咨询服务总体思路和各专业工程咨询的特点</w:t>
            </w:r>
          </w:p>
        </w:tc>
        <w:tc>
          <w:tcPr>
            <w:tcW w:type="dxa" w:w="2492"/>
          </w:tcPr>
          <w:p>
            <w:pPr>
              <w:pStyle w:val="null3"/>
            </w:pPr>
            <w:r>
              <w:rPr>
                <w:rFonts w:ascii="仿宋_GB2312" w:hAnsi="仿宋_GB2312" w:cs="仿宋_GB2312" w:eastAsia="仿宋_GB2312"/>
              </w:rPr>
              <w:t>对咨询服务的总体思路、审查标准和各专业工程技术咨询的特点进行评价： 1.咨询总体思路和审查标准具有科学性、先进性、合理性，对各专业工程技术咨询特点、重难点、关键技术理解到位准确，得15分； 2.咨询总体思路和审查标准较科学、较先进、较合理，对各专业工程技术咨询特点、重难点、关键技术理解较准确，得13分； 3.咨询总体思路和审查标准基本科学、合理，对各专业工程技术咨询特点、重难点、关键技术分析一般，区分度不明显，得10分； 4.咨询总体思路和审查标准一般，对各专业工程技术咨询的特点、重难点、关键技术理解有欠缺，不够全面，得8分； 5.咨询总体思路和审查标准不清晰，对各专业工程技术咨询的特点、重难点、关键技术理解阐述有缺项，不完整，得5分； 6.咨询总体思路和审查标准不清晰，缺少对各专业工程技术咨询特点及重难点的分析，得2分； 7.未提供此项得0分。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工作计划及质量保障措施</w:t>
            </w:r>
          </w:p>
        </w:tc>
        <w:tc>
          <w:tcPr>
            <w:tcW w:type="dxa" w:w="2492"/>
          </w:tcPr>
          <w:p>
            <w:pPr>
              <w:pStyle w:val="null3"/>
            </w:pPr>
            <w:r>
              <w:rPr>
                <w:rFonts w:ascii="仿宋_GB2312" w:hAnsi="仿宋_GB2312" w:cs="仿宋_GB2312" w:eastAsia="仿宋_GB2312"/>
              </w:rPr>
              <w:t>1.工作计划和质量、进度保证措施安排具体，针对性强，有效可行，得5分； 2.工作计划和质量、进度保证措施安排较具体，针对性较强，较有效、可行，得4分； 3.工作计划和质量、进度保证措施安排不具体，针对性一般，基本有效、可行，得3分； 4.工作计划和质量、进度保证措施安排不具体，针对性较差，可行性一般，得2分； 5.内容有缺项，漏项；无法满足项目需求得1分； 6.未提供此项不得分。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服务承诺包含但不限于对后期服务的保证措施、能够处理各类紧急事项的措施，保证项目实施，能够保证在规定的时间解决问题。承诺内容切实可行。 1.措施方案考虑全面、内容完整、重点突出、具有针对性和可行性的得5分； 2.措施方案较为全面、内容较为完整、重点内容体现、较有针对性和可行性的得3分； 3.措施方案较差、考虑不够全面、内容不够完整、重点内容未体现的得1分；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1.项目负责人具有公路工程中级工程师职称得2分，高级职称得4分，未提供职称证不得分； 2.项目负责人需提供自2022年1月1日至响应文件递交截止之日前，具有10条普通干线公路（单个公路项目里程≥20km）养护工程设计咨询项目负责人业绩，得5分；每增加1条干线公路（或高速公路）建养工程设计或技术咨询的加1分，最多加6分；未提供业绩不得分。 注：须提供身份证、社保缴纳证明（2024年10月1日至响应文件提交截止之日前任意连续3个月的缴费证明）材料复印件；同时上述加分项均须提供证明材料，包括但不限于职称证书、合同文件或履约证明等相关证明文件复印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拟投入项目的团队人员（除项目负责人外）具有公路工程相关专业中级及以上技术职称，每提供一个得1分，满分5分。 注：须提供身份证、社保缴纳证明（2024年10月1日至响应文件提交截止之日前任意连续3个月的缴费证明）材料复印件；同时上述加分项均须提供证明材料，包括但不限于职称证书、合同文件或履约证明等相关证明文件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2022年1月1日至响应文件递交截止前，有20个公路工程设计审查或设计咨询业绩，得10分；每增加一个公路工程设计审查或设计咨询业绩加0.5分，最多加10分。未提供业绩不得分。 注：以合同签订时间为准，供应商应在响应文件中提供业绩合同复印件或扫描件且加盖单位公章。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服务响应偏离表.docx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满足竞争性磋商文件要求且磋商报价最低的报价为磋商基准价，其价格分为满分15分。其他供应商的价格分统一按照下列公式计算：磋商报价得分=（磋商基准价/最终磋商报价）×15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