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版本号：DQA-2025046-ZB20250520001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2025年度陕西省土地矿产卫片执法检查项目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DQA-2025046-ZB</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2025年度陕西省土地矿产卫片执法检查项目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DQA-2025046-ZB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2025年度陕西省土地矿产卫片执法检查项目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本项目为2025年度陕西省土地矿产卫片执法检查项目，1项。具体详见招标文件第3章。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11、测绘资质证书：投标人须具有测绘行政主管部门颁发的乙级及以上测绘资质证书。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029-84334410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银行账号：52880188000126427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说明：说明：1.提交履约保函的时间：支付预付款前，向采购人提交履约保函。2.担保有效期:担保有效期与合同有效期限相同，合同有效期结束后退还履约保函。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本项目为2025年度陕西省土地矿产卫片执法检查项目，1项。具体详见招标文件第3章。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4,400,000.00</w:t>
      </w:r>
    </w:p>
    <w:p>
      <w:pPr>
        <w:pStyle w:val="null3"/>
      </w:pPr>
      <w:r>
        <w:rPr>
          <w:rFonts w:ascii="仿宋_GB2312" w:hAnsi="仿宋_GB2312" w:cs="仿宋_GB2312" w:eastAsia="仿宋_GB2312"/>
        </w:rPr>
        <w:t>采购包最高限价（元）: 4,400,000.00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2025年度陕西省土地矿产卫片执法检查项目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标的名称：2025年度陕西省土地矿产卫片执法检查项目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1、技术依据</w:t>
            </w:r>
          </w:p>
          <w:p>
            <w:pPr>
              <w:pStyle w:val="null3"/>
            </w:pPr>
            <w:r>
              <w:rPr>
                <w:rFonts w:ascii="仿宋_GB2312" w:hAnsi="仿宋_GB2312" w:cs="仿宋_GB2312" w:eastAsia="仿宋_GB2312"/>
              </w:rPr>
              <w:t>1.《中华人民共和国土地管理法》（2019年8月26日修订）；</w:t>
            </w:r>
          </w:p>
          <w:p>
            <w:pPr>
              <w:pStyle w:val="null3"/>
            </w:pPr>
            <w:r>
              <w:rPr>
                <w:rFonts w:ascii="仿宋_GB2312" w:hAnsi="仿宋_GB2312" w:cs="仿宋_GB2312" w:eastAsia="仿宋_GB2312"/>
              </w:rPr>
              <w:t>2.《中华人民共和国土地管理法实施条例》（2021年7月2日修订）；</w:t>
            </w:r>
          </w:p>
          <w:p>
            <w:pPr>
              <w:pStyle w:val="null3"/>
            </w:pPr>
            <w:r>
              <w:rPr>
                <w:rFonts w:ascii="仿宋_GB2312" w:hAnsi="仿宋_GB2312" w:cs="仿宋_GB2312" w:eastAsia="仿宋_GB2312"/>
              </w:rPr>
              <w:t>3.《国务院办公厅关于坚决制止耕地“非农化”行为的通知》（国办发明电〔2020〕24号）；</w:t>
            </w:r>
          </w:p>
          <w:p>
            <w:pPr>
              <w:pStyle w:val="null3"/>
            </w:pPr>
            <w:r>
              <w:rPr>
                <w:rFonts w:ascii="仿宋_GB2312" w:hAnsi="仿宋_GB2312" w:cs="仿宋_GB2312" w:eastAsia="仿宋_GB2312"/>
              </w:rPr>
              <w:t>4.《自然资源部关于统筹规范耕地保护卫星遥感监测工作的通知》（自然资发〔2023〕258号）；</w:t>
            </w:r>
          </w:p>
          <w:p>
            <w:pPr>
              <w:pStyle w:val="null3"/>
            </w:pPr>
            <w:r>
              <w:rPr>
                <w:rFonts w:ascii="仿宋_GB2312" w:hAnsi="仿宋_GB2312" w:cs="仿宋_GB2312" w:eastAsia="仿宋_GB2312"/>
              </w:rPr>
              <w:t>5.《关于开展2025年土地卫片日常监测工作的通知》（陕自然资办发〔2025〕139号）；</w:t>
            </w:r>
          </w:p>
          <w:p>
            <w:pPr>
              <w:pStyle w:val="null3"/>
            </w:pPr>
            <w:r>
              <w:rPr>
                <w:rFonts w:ascii="仿宋_GB2312" w:hAnsi="仿宋_GB2312" w:cs="仿宋_GB2312" w:eastAsia="仿宋_GB2312"/>
              </w:rPr>
              <w:t>6.《自然资源部 农业农村部 国家林业和草原局关于严格耕地用途管制有关问题的通知》（自然资发〔2021〕166号）；</w:t>
            </w:r>
          </w:p>
          <w:p>
            <w:pPr>
              <w:pStyle w:val="null3"/>
            </w:pPr>
            <w:r>
              <w:rPr>
                <w:rFonts w:ascii="仿宋_GB2312" w:hAnsi="仿宋_GB2312" w:cs="仿宋_GB2312" w:eastAsia="仿宋_GB2312"/>
              </w:rPr>
              <w:t>7.《自然资源部农业农村部关于加强和改进永久基本农田保护工作的通知》（自然资规〔2019〕1号）；</w:t>
            </w:r>
          </w:p>
          <w:p>
            <w:pPr>
              <w:pStyle w:val="null3"/>
            </w:pPr>
            <w:r>
              <w:rPr>
                <w:rFonts w:ascii="仿宋_GB2312" w:hAnsi="仿宋_GB2312" w:cs="仿宋_GB2312" w:eastAsia="仿宋_GB2312"/>
              </w:rPr>
              <w:t>8.《自然资源部 农业农村部关于农村乱占耕地建房“八不准”的通知》（自然资发〔2020〕127号）；</w:t>
            </w:r>
          </w:p>
          <w:p>
            <w:pPr>
              <w:pStyle w:val="null3"/>
            </w:pPr>
            <w:r>
              <w:rPr>
                <w:rFonts w:ascii="仿宋_GB2312" w:hAnsi="仿宋_GB2312" w:cs="仿宋_GB2312" w:eastAsia="仿宋_GB2312"/>
              </w:rPr>
              <w:t>9.《自然资源部关于规范临时用地管理的通知》（自然资规〔2021〕2号）；</w:t>
            </w:r>
          </w:p>
          <w:p>
            <w:pPr>
              <w:pStyle w:val="null3"/>
            </w:pPr>
            <w:r>
              <w:rPr>
                <w:rFonts w:ascii="仿宋_GB2312" w:hAnsi="仿宋_GB2312" w:cs="仿宋_GB2312" w:eastAsia="仿宋_GB2312"/>
              </w:rPr>
              <w:t>10.《自然资源部关于加强临时用地监管有关工作的通知》（自然资办函〔2023〕1280号）；</w:t>
            </w:r>
          </w:p>
          <w:p>
            <w:pPr>
              <w:pStyle w:val="null3"/>
            </w:pPr>
            <w:r>
              <w:rPr>
                <w:rFonts w:ascii="仿宋_GB2312" w:hAnsi="仿宋_GB2312" w:cs="仿宋_GB2312" w:eastAsia="仿宋_GB2312"/>
              </w:rPr>
              <w:t>11.《自然资源部办公厅关于修订&lt;土地卫片执法图斑合法性判定规则&gt;的通知》（自然资办函〔2023〕337号）；</w:t>
            </w:r>
          </w:p>
          <w:p>
            <w:pPr>
              <w:pStyle w:val="null3"/>
            </w:pPr>
            <w:r>
              <w:rPr>
                <w:rFonts w:ascii="仿宋_GB2312" w:hAnsi="仿宋_GB2312" w:cs="仿宋_GB2312" w:eastAsia="仿宋_GB2312"/>
              </w:rPr>
              <w:t>12.《矿产卫片执法图斑填报指南（试行）》（自然资执法函〔2020〕36号）；</w:t>
            </w:r>
          </w:p>
          <w:p>
            <w:pPr>
              <w:pStyle w:val="null3"/>
            </w:pPr>
            <w:r>
              <w:rPr>
                <w:rFonts w:ascii="仿宋_GB2312" w:hAnsi="仿宋_GB2312" w:cs="仿宋_GB2312" w:eastAsia="仿宋_GB2312"/>
              </w:rPr>
              <w:t>13.《关于支持光伏发电产业发展规范用地管理有关工作的通知》（自然资办发〔2023〕12号）；</w:t>
            </w:r>
          </w:p>
          <w:p>
            <w:pPr>
              <w:pStyle w:val="null3"/>
            </w:pPr>
            <w:r>
              <w:rPr>
                <w:rFonts w:ascii="仿宋_GB2312" w:hAnsi="仿宋_GB2312" w:cs="仿宋_GB2312" w:eastAsia="仿宋_GB2312"/>
              </w:rPr>
              <w:t>14.《陕西省关于规范光伏复合项目用地管理的通知》（陕发改能新能源〔2021〕933号）；</w:t>
            </w:r>
          </w:p>
          <w:p>
            <w:pPr>
              <w:pStyle w:val="null3"/>
            </w:pPr>
            <w:r>
              <w:rPr>
                <w:rFonts w:ascii="仿宋_GB2312" w:hAnsi="仿宋_GB2312" w:cs="仿宋_GB2312" w:eastAsia="仿宋_GB2312"/>
              </w:rPr>
              <w:t>15.《陕西省自然资源厅 陕西省农业农村厅关于设施农业用地管理有关问题的通知》（陕自然资规〔2020〕4号）；</w:t>
            </w:r>
          </w:p>
          <w:p>
            <w:pPr>
              <w:pStyle w:val="null3"/>
            </w:pPr>
            <w:r>
              <w:rPr>
                <w:rFonts w:ascii="仿宋_GB2312" w:hAnsi="仿宋_GB2312" w:cs="仿宋_GB2312" w:eastAsia="仿宋_GB2312"/>
              </w:rPr>
              <w:t>16.《关于严格耕地用途管制的实施意见》（陕自然资发〔2022〕52号）；</w:t>
            </w:r>
          </w:p>
          <w:p>
            <w:pPr>
              <w:pStyle w:val="null3"/>
            </w:pPr>
            <w:r>
              <w:rPr>
                <w:rFonts w:ascii="仿宋_GB2312" w:hAnsi="仿宋_GB2312" w:cs="仿宋_GB2312" w:eastAsia="仿宋_GB2312"/>
              </w:rPr>
              <w:t>17.《土地利用现状分类》（GB/T 2010-2017）；</w:t>
            </w:r>
          </w:p>
          <w:p>
            <w:pPr>
              <w:pStyle w:val="null3"/>
            </w:pPr>
            <w:r>
              <w:rPr>
                <w:rFonts w:ascii="仿宋_GB2312" w:hAnsi="仿宋_GB2312" w:cs="仿宋_GB2312" w:eastAsia="仿宋_GB2312"/>
              </w:rPr>
              <w:t>18.相关补充技术文件及要求。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2、工作内容</w:t>
            </w:r>
          </w:p>
          <w:p>
            <w:pPr>
              <w:pStyle w:val="null3"/>
            </w:pPr>
            <w:r>
              <w:rPr>
                <w:rFonts w:ascii="仿宋_GB2312" w:hAnsi="仿宋_GB2312" w:cs="仿宋_GB2312" w:eastAsia="仿宋_GB2312"/>
              </w:rPr>
              <w:t>投标人依据部省相关土地矿产管理政策，完成全省2025年度土地矿产卫片省级技术支撑和其他专项工作。具体工作任务如下：</w:t>
            </w:r>
          </w:p>
          <w:p>
            <w:pPr>
              <w:pStyle w:val="null3"/>
            </w:pPr>
            <w:r>
              <w:rPr>
                <w:rFonts w:ascii="仿宋_GB2312" w:hAnsi="仿宋_GB2312" w:cs="仿宋_GB2312" w:eastAsia="仿宋_GB2312"/>
              </w:rPr>
              <w:t>1.省级土地卫片日常监测</w:t>
            </w:r>
          </w:p>
          <w:p>
            <w:pPr>
              <w:pStyle w:val="null3"/>
            </w:pPr>
            <w:r>
              <w:rPr>
                <w:rFonts w:ascii="仿宋_GB2312" w:hAnsi="仿宋_GB2312" w:cs="仿宋_GB2312" w:eastAsia="仿宋_GB2312"/>
              </w:rPr>
              <w:t>（1）图斑提取</w:t>
            </w:r>
          </w:p>
          <w:p>
            <w:pPr>
              <w:pStyle w:val="null3"/>
            </w:pPr>
            <w:r>
              <w:rPr>
                <w:rFonts w:ascii="仿宋_GB2312" w:hAnsi="仿宋_GB2312" w:cs="仿宋_GB2312" w:eastAsia="仿宋_GB2312"/>
              </w:rPr>
              <w:t>与国土变更调查日常遥感监测、耕地保护动态监测相结合，获取疑似新增建设用地图斑，套合地类信息和相关审批信息后，作为土地卫片执法图斑下发市县。根据工作需要，利用最新卫星遥感影像，补充提取疑似新增建设用地图斑。</w:t>
            </w:r>
          </w:p>
          <w:p>
            <w:pPr>
              <w:pStyle w:val="null3"/>
            </w:pPr>
            <w:r>
              <w:rPr>
                <w:rFonts w:ascii="仿宋_GB2312" w:hAnsi="仿宋_GB2312" w:cs="仿宋_GB2312" w:eastAsia="仿宋_GB2312"/>
              </w:rPr>
              <w:t>（2）内业审核</w:t>
            </w:r>
          </w:p>
          <w:p>
            <w:pPr>
              <w:pStyle w:val="null3"/>
            </w:pPr>
            <w:r>
              <w:rPr>
                <w:rFonts w:ascii="仿宋_GB2312" w:hAnsi="仿宋_GB2312" w:cs="仿宋_GB2312" w:eastAsia="仿宋_GB2312"/>
              </w:rPr>
              <w:t>每月5日前，按照“月清、月核”工作要求，完成上月县级上报并经市级审核确认的卫片图斑逐图斑内业审核，重点审核图斑判定、填报的准确性，举证资料的规范性，并对审核成果进行质检以及统计汇总分析。按月统计填报完成情况，定期组织开展问题图斑举证复核。</w:t>
            </w:r>
          </w:p>
          <w:p>
            <w:pPr>
              <w:pStyle w:val="null3"/>
            </w:pPr>
            <w:r>
              <w:rPr>
                <w:rFonts w:ascii="仿宋_GB2312" w:hAnsi="仿宋_GB2312" w:cs="仿宋_GB2312" w:eastAsia="仿宋_GB2312"/>
              </w:rPr>
              <w:t>（3）外业核查</w:t>
            </w:r>
          </w:p>
          <w:p>
            <w:pPr>
              <w:pStyle w:val="null3"/>
            </w:pPr>
            <w:r>
              <w:rPr>
                <w:rFonts w:ascii="仿宋_GB2312" w:hAnsi="仿宋_GB2312" w:cs="仿宋_GB2312" w:eastAsia="仿宋_GB2312"/>
              </w:rPr>
              <w:t>每月20日前，完成省级内业无法判断图斑的实地外业核查工作，及时发现存在的问题，确保相关成果真实准确。省级外业核查采用“互联网+”在线核查及实地核查两种方式，包括但不限于以下工作内容：</w:t>
            </w:r>
          </w:p>
          <w:p>
            <w:pPr>
              <w:pStyle w:val="null3"/>
            </w:pPr>
            <w:r>
              <w:rPr>
                <w:rFonts w:ascii="仿宋_GB2312" w:hAnsi="仿宋_GB2312" w:cs="仿宋_GB2312" w:eastAsia="仿宋_GB2312"/>
              </w:rPr>
              <w:t>1）对疑似违法占用耕地50亩以上、永久基本农田或生态保护红线30亩以上的疑似问题图斑，以及拆除复耕涉及永久基本农田或生态保护红线20亩以上、耕地面积30亩以上的图斑逐一进行实地核查。</w:t>
            </w:r>
          </w:p>
          <w:p>
            <w:pPr>
              <w:pStyle w:val="null3"/>
            </w:pPr>
            <w:r>
              <w:rPr>
                <w:rFonts w:ascii="仿宋_GB2312" w:hAnsi="仿宋_GB2312" w:cs="仿宋_GB2312" w:eastAsia="仿宋_GB2312"/>
              </w:rPr>
              <w:t>2）根据实际工作量，每月对内业审核无法确定的耕地5亩以上图斑采用“互联网+”在线核查及实地核查两种方式进行重点核查；其他图斑根据工作需要随时开展核查。</w:t>
            </w:r>
          </w:p>
          <w:p>
            <w:pPr>
              <w:pStyle w:val="null3"/>
            </w:pPr>
            <w:r>
              <w:rPr>
                <w:rFonts w:ascii="仿宋_GB2312" w:hAnsi="仿宋_GB2312" w:cs="仿宋_GB2312" w:eastAsia="仿宋_GB2312"/>
              </w:rPr>
              <w:t>（4）重点图斑持续监测</w:t>
            </w:r>
          </w:p>
          <w:p>
            <w:pPr>
              <w:pStyle w:val="null3"/>
            </w:pPr>
            <w:r>
              <w:rPr>
                <w:rFonts w:ascii="仿宋_GB2312" w:hAnsi="仿宋_GB2312" w:cs="仿宋_GB2312" w:eastAsia="仿宋_GB2312"/>
              </w:rPr>
              <w:t>对面积较大的实地未变化图斑，每季度利用最新的遥感影像持续进行监测。</w:t>
            </w:r>
          </w:p>
          <w:p>
            <w:pPr>
              <w:pStyle w:val="null3"/>
            </w:pPr>
            <w:r>
              <w:rPr>
                <w:rFonts w:ascii="仿宋_GB2312" w:hAnsi="仿宋_GB2312" w:cs="仿宋_GB2312" w:eastAsia="仿宋_GB2312"/>
              </w:rPr>
              <w:t>（5）数据处理及统计分析工作</w:t>
            </w:r>
          </w:p>
          <w:p>
            <w:pPr>
              <w:pStyle w:val="null3"/>
            </w:pPr>
            <w:r>
              <w:rPr>
                <w:rFonts w:ascii="仿宋_GB2312" w:hAnsi="仿宋_GB2312" w:cs="仿宋_GB2312" w:eastAsia="仿宋_GB2312"/>
              </w:rPr>
              <w:t>对2025年内业审核发现的问题图斑按月建立台账，并根据县级整改情况进行更新。对审核数据进行处理及统计分析，按时提交季度、半年、年度分析报告。</w:t>
            </w:r>
          </w:p>
          <w:p>
            <w:pPr>
              <w:pStyle w:val="null3"/>
            </w:pPr>
            <w:r>
              <w:rPr>
                <w:rFonts w:ascii="仿宋_GB2312" w:hAnsi="仿宋_GB2312" w:cs="仿宋_GB2312" w:eastAsia="仿宋_GB2312"/>
              </w:rPr>
              <w:t>（6）完成省厅交办的其他专项工作任务：</w:t>
            </w:r>
          </w:p>
          <w:p>
            <w:pPr>
              <w:pStyle w:val="null3"/>
            </w:pPr>
            <w:r>
              <w:rPr>
                <w:rFonts w:ascii="仿宋_GB2312" w:hAnsi="仿宋_GB2312" w:cs="仿宋_GB2312" w:eastAsia="仿宋_GB2312"/>
              </w:rPr>
              <w:t>1）拟报批建设用地遥感监测解译。</w:t>
            </w:r>
          </w:p>
          <w:p>
            <w:pPr>
              <w:pStyle w:val="null3"/>
            </w:pPr>
            <w:r>
              <w:rPr>
                <w:rFonts w:ascii="仿宋_GB2312" w:hAnsi="仿宋_GB2312" w:cs="仿宋_GB2312" w:eastAsia="仿宋_GB2312"/>
              </w:rPr>
              <w:t>利用最新的卫星遥感影像，开展拟报批建设用地遥感监测解译，提供遥感解译判定结果。</w:t>
            </w:r>
          </w:p>
          <w:p>
            <w:pPr>
              <w:pStyle w:val="null3"/>
            </w:pPr>
            <w:r>
              <w:rPr>
                <w:rFonts w:ascii="仿宋_GB2312" w:hAnsi="仿宋_GB2312" w:cs="仿宋_GB2312" w:eastAsia="仿宋_GB2312"/>
              </w:rPr>
              <w:t>2）其他部省安排的卫片执法专项相关技术支撑工作任务。</w:t>
            </w:r>
          </w:p>
          <w:p>
            <w:pPr>
              <w:pStyle w:val="null3"/>
            </w:pPr>
            <w:r>
              <w:rPr>
                <w:rFonts w:ascii="仿宋_GB2312" w:hAnsi="仿宋_GB2312" w:cs="仿宋_GB2312" w:eastAsia="仿宋_GB2312"/>
              </w:rPr>
              <w:t>2.自然资源部年度土地矿产卫片</w:t>
            </w:r>
          </w:p>
          <w:p>
            <w:pPr>
              <w:pStyle w:val="null3"/>
            </w:pPr>
            <w:r>
              <w:rPr>
                <w:rFonts w:ascii="仿宋_GB2312" w:hAnsi="仿宋_GB2312" w:cs="仿宋_GB2312" w:eastAsia="仿宋_GB2312"/>
              </w:rPr>
              <w:t>年度卫片工作以自然资源部的安排部署为准。完成年度土地矿产卫片执法图斑内业审核、外业抽查、成果汇总分析等工作。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3、服务要求</w:t>
            </w:r>
          </w:p>
          <w:p>
            <w:pPr>
              <w:pStyle w:val="null3"/>
            </w:pPr>
            <w:r>
              <w:rPr>
                <w:rFonts w:ascii="仿宋_GB2312" w:hAnsi="仿宋_GB2312" w:cs="仿宋_GB2312" w:eastAsia="仿宋_GB2312"/>
              </w:rPr>
              <w:t>1.组织实施要求</w:t>
            </w:r>
          </w:p>
          <w:p>
            <w:pPr>
              <w:pStyle w:val="null3"/>
            </w:pPr>
            <w:r>
              <w:rPr>
                <w:rFonts w:ascii="仿宋_GB2312" w:hAnsi="仿宋_GB2312" w:cs="仿宋_GB2312" w:eastAsia="仿宋_GB2312"/>
              </w:rPr>
              <w:t>为保障项目顺利实施，投标人需投入充足的技术力量并建立稳定的项目实施架构，建立质量管理及保密制度保障项目按时、按质、按量有序实施。在项目日常管理和条件保障方面，从行政组织、后勤保障和支撑条件各方面创造良好的服务环境，确保项目的顺利实施。</w:t>
            </w:r>
          </w:p>
          <w:p>
            <w:pPr>
              <w:pStyle w:val="null3"/>
            </w:pPr>
            <w:r>
              <w:rPr>
                <w:rFonts w:ascii="仿宋_GB2312" w:hAnsi="仿宋_GB2312" w:cs="仿宋_GB2312" w:eastAsia="仿宋_GB2312"/>
              </w:rPr>
              <w:t>2.进度要求</w:t>
            </w:r>
          </w:p>
          <w:p>
            <w:pPr>
              <w:pStyle w:val="null3"/>
            </w:pPr>
            <w:r>
              <w:rPr>
                <w:rFonts w:ascii="仿宋_GB2312" w:hAnsi="仿宋_GB2312" w:cs="仿宋_GB2312" w:eastAsia="仿宋_GB2312"/>
              </w:rPr>
              <w:t>（1）合同签订后7日内完成实施方案制定。</w:t>
            </w:r>
          </w:p>
          <w:p>
            <w:pPr>
              <w:pStyle w:val="null3"/>
            </w:pPr>
            <w:r>
              <w:rPr>
                <w:rFonts w:ascii="仿宋_GB2312" w:hAnsi="仿宋_GB2312" w:cs="仿宋_GB2312" w:eastAsia="仿宋_GB2312"/>
              </w:rPr>
              <w:t>（2）按“月清”“月核”要求，每月月底前督促各县(区、市)完成上一个月下发所有图斑的填报工作，成果上报后20日内完成内业审核和外业核查，汇总分析内外业核查结果。8月底前，完成上半年土地卫片执法日常监测成果汇总，编写分析报告。</w:t>
            </w:r>
          </w:p>
          <w:p>
            <w:pPr>
              <w:pStyle w:val="null3"/>
            </w:pPr>
            <w:r>
              <w:rPr>
                <w:rFonts w:ascii="仿宋_GB2312" w:hAnsi="仿宋_GB2312" w:cs="仿宋_GB2312" w:eastAsia="仿宋_GB2312"/>
              </w:rPr>
              <w:t>（3）2026年2月完成规定工作任务。若因卫片图斑数据延期下发，则根据实际情况延后提交工作成果。</w:t>
            </w:r>
          </w:p>
          <w:p>
            <w:pPr>
              <w:pStyle w:val="null3"/>
            </w:pPr>
            <w:r>
              <w:rPr>
                <w:rFonts w:ascii="仿宋_GB2312" w:hAnsi="仿宋_GB2312" w:cs="仿宋_GB2312" w:eastAsia="仿宋_GB2312"/>
              </w:rPr>
              <w:t>（4）拟报批建设用地遥感监测解译应在每批次资料接收后3个工作日内反馈遥感解译判定成果。</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投标人应实行全过程质量控制，落实自检、互检、项目专检三级质量管理，按照质量管理计划有组织地开展检查工作。加强处理过程中各工序的质量检查，在各环节工作中，严格执行项目标准、规范和技术规定。</w:t>
            </w:r>
          </w:p>
          <w:p>
            <w:pPr>
              <w:pStyle w:val="null3"/>
            </w:pPr>
            <w:r>
              <w:rPr>
                <w:rFonts w:ascii="仿宋_GB2312" w:hAnsi="仿宋_GB2312" w:cs="仿宋_GB2312" w:eastAsia="仿宋_GB2312"/>
              </w:rPr>
              <w:t>4.保密要求</w:t>
            </w:r>
          </w:p>
          <w:p>
            <w:pPr>
              <w:pStyle w:val="null3"/>
            </w:pPr>
            <w:r>
              <w:rPr>
                <w:rFonts w:ascii="仿宋_GB2312" w:hAnsi="仿宋_GB2312" w:cs="仿宋_GB2312" w:eastAsia="仿宋_GB2312"/>
              </w:rPr>
              <w:t>（1）投标人须按国家相关法律法规的要求，制定数据安全保密措施，严防泄密，确保数据安全。</w:t>
            </w:r>
          </w:p>
          <w:p>
            <w:pPr>
              <w:pStyle w:val="null3"/>
            </w:pPr>
            <w:r>
              <w:rPr>
                <w:rFonts w:ascii="仿宋_GB2312" w:hAnsi="仿宋_GB2312" w:cs="仿宋_GB2312" w:eastAsia="仿宋_GB2312"/>
              </w:rPr>
              <w:t>（2）投标人不得私自与受检单位联系，透漏核查有关信息，确保核查结果客观公正。</w:t>
            </w:r>
          </w:p>
          <w:p>
            <w:pPr>
              <w:pStyle w:val="null3"/>
            </w:pPr>
            <w:r>
              <w:rPr>
                <w:rFonts w:ascii="仿宋_GB2312" w:hAnsi="仿宋_GB2312" w:cs="仿宋_GB2312" w:eastAsia="仿宋_GB2312"/>
              </w:rPr>
              <w:t>5.安全要求</w:t>
            </w:r>
          </w:p>
          <w:p>
            <w:pPr>
              <w:pStyle w:val="null3"/>
            </w:pPr>
            <w:r>
              <w:rPr>
                <w:rFonts w:ascii="仿宋_GB2312" w:hAnsi="仿宋_GB2312" w:cs="仿宋_GB2312" w:eastAsia="仿宋_GB2312"/>
              </w:rPr>
              <w:t>全面贯彻落实“安全第一、预防为主、综合治理”的安全生产方针，开展野外安全培训，提高项目组外业核查作业过程中突发险情、事故快速妥善处理和应急救援能力，最大限度减少事故损失，促进项目顺利开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4、成果要求</w:t>
            </w:r>
          </w:p>
          <w:p>
            <w:pPr>
              <w:pStyle w:val="null3"/>
            </w:pPr>
            <w:r>
              <w:rPr>
                <w:rFonts w:ascii="仿宋_GB2312" w:hAnsi="仿宋_GB2312" w:cs="仿宋_GB2312" w:eastAsia="仿宋_GB2312"/>
              </w:rPr>
              <w:t>1.2025年度陕西省土地矿产卫片执法检查项目实施方案；</w:t>
            </w:r>
          </w:p>
          <w:p>
            <w:pPr>
              <w:pStyle w:val="null3"/>
            </w:pPr>
            <w:r>
              <w:rPr>
                <w:rFonts w:ascii="仿宋_GB2312" w:hAnsi="仿宋_GB2312" w:cs="仿宋_GB2312" w:eastAsia="仿宋_GB2312"/>
              </w:rPr>
              <w:t>2.陕西省2025年卫片执法省级内业审核细则；</w:t>
            </w:r>
          </w:p>
          <w:p>
            <w:pPr>
              <w:pStyle w:val="null3"/>
            </w:pPr>
            <w:r>
              <w:rPr>
                <w:rFonts w:ascii="仿宋_GB2312" w:hAnsi="仿宋_GB2312" w:cs="仿宋_GB2312" w:eastAsia="仿宋_GB2312"/>
              </w:rPr>
              <w:t>3.陕西省2025年卫片执法省级外业核查操作指南；</w:t>
            </w:r>
          </w:p>
          <w:p>
            <w:pPr>
              <w:pStyle w:val="null3"/>
            </w:pPr>
            <w:r>
              <w:rPr>
                <w:rFonts w:ascii="仿宋_GB2312" w:hAnsi="仿宋_GB2312" w:cs="仿宋_GB2312" w:eastAsia="仿宋_GB2312"/>
              </w:rPr>
              <w:t>4.月度成果:月度问题图斑台账；月度新增建设用地统计汇总表。</w:t>
            </w:r>
          </w:p>
          <w:p>
            <w:pPr>
              <w:pStyle w:val="null3"/>
            </w:pPr>
            <w:r>
              <w:rPr>
                <w:rFonts w:ascii="仿宋_GB2312" w:hAnsi="仿宋_GB2312" w:cs="仿宋_GB2312" w:eastAsia="仿宋_GB2312"/>
              </w:rPr>
              <w:t>5.季度成果:季度报告；季度新增建设用地统计汇总表。</w:t>
            </w:r>
          </w:p>
          <w:p>
            <w:pPr>
              <w:pStyle w:val="null3"/>
            </w:pPr>
            <w:r>
              <w:rPr>
                <w:rFonts w:ascii="仿宋_GB2312" w:hAnsi="仿宋_GB2312" w:cs="仿宋_GB2312" w:eastAsia="仿宋_GB2312"/>
              </w:rPr>
              <w:t>6.半年度成果:半年度问题图斑台账；半年度报告；半年度新增建设用地统计汇总表。</w:t>
            </w:r>
          </w:p>
          <w:p>
            <w:pPr>
              <w:pStyle w:val="null3"/>
            </w:pPr>
            <w:r>
              <w:rPr>
                <w:rFonts w:ascii="仿宋_GB2312" w:hAnsi="仿宋_GB2312" w:cs="仿宋_GB2312" w:eastAsia="仿宋_GB2312"/>
              </w:rPr>
              <w:t>7.年度成果:陕西省年度问题图斑台账；陕西省年度工作报告；陕西省年度新增建设用地统计汇总表。</w:t>
            </w:r>
          </w:p>
          <w:p>
            <w:pPr>
              <w:pStyle w:val="null3"/>
            </w:pPr>
            <w:r>
              <w:rPr>
                <w:rFonts w:ascii="仿宋_GB2312" w:hAnsi="仿宋_GB2312" w:cs="仿宋_GB2312" w:eastAsia="仿宋_GB2312"/>
              </w:rPr>
              <w:t>8.专项成果:拟报批建设用地遥感监测解译报告。</w:t>
            </w:r>
          </w:p>
          <w:p>
            <w:pPr>
              <w:pStyle w:val="null3"/>
            </w:pPr>
            <w:r>
              <w:rPr>
                <w:rFonts w:ascii="仿宋_GB2312" w:hAnsi="仿宋_GB2312" w:cs="仿宋_GB2312" w:eastAsia="仿宋_GB2312"/>
              </w:rPr>
              <w:t>9.2025年度陕西省土地矿产卫片执法检查项目工作总结。</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5、其他要求</w:t>
            </w:r>
          </w:p>
          <w:p>
            <w:pPr>
              <w:pStyle w:val="null3"/>
            </w:pPr>
            <w:r>
              <w:rPr>
                <w:rFonts w:ascii="仿宋_GB2312" w:hAnsi="仿宋_GB2312" w:cs="仿宋_GB2312" w:eastAsia="仿宋_GB2312"/>
              </w:rPr>
              <w:t>完成厅自然资源执法局交办的其他相关任务，并依据各项任务要求提交成果资料。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1.为保证项目进度及实施质量，投标人应保证投入本项目的工作人员充足，人员应具备遥感、测绘、地理信息、土地管理等相关专业资格。 2.投标人选派本项目的项目拟派负责人和主要技术负责人，不得随意更换，如需更换人员，需经采购人同意，并且更换人员与原人员具有同等或以上的经验和相关证书。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提供履行本合同所必需的设施设备。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1.知识产权归属和处理方式： （1）知识产权归属：本项目产生的专利、商标、著作权等所有知识产权均归采购人，中标人需在知识产权产生后 15 个工作日内提交资料并协助办理相关手续。 （2）使用限制：中标人仅可在合同约定范围内使用相关知识产权及技术资料，如需用于其他目的，须提前 10 个工作日获采购人书面同意。 （3）侵权责任：中标人侵犯采购人或第三方知识产权，采购人有权要求立即停止侵权、消除影响、赔偿全部损失（含维权费用），并支付合同金额 20% 的违约金，情节严重可解除合同。 （4）技术资料管理：中标人提供的技术资料使用权归采购人。 （5）争议解决：因本条款产生争议，先协商；协商不成，向采购人所在地法院诉讼。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（1）验收方法：项目交付后，由采购人根据合同、采购文件、投标文件组织验收，验收时双方皆应派员参加，采购人有权邀请相关专家或第三方机构进行验收； （2）验收标准：按照合约定，符合国家相关规定及相关技术要求，同完全满足采购人提出的工作需要；（3）其他要求：验收不合格时，采购人和中标人应协商一致，中标人应根据相关验收证明材料及时补足或整改，费用由中标人自行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2025年底</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1.纸质文件要求 （1）供应商需要在线提交所有通过电子化交易平台实施的政府采购项目的投标文件，同时，线下提交纸质投标文件正本壹份、副本贰份。若电子投标文件与纸质投标文件不一致的，以电子投标文件为准。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 2、投标保证金注意事项：（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供应商须在文件递交截止时间前按照指定账户再次提交。 3、合同价款：合同总价一次性包死，不受市场价格变化因素的影响。除本合同总金额外，采购人不再支付任何其他费用。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测绘资质证书</w:t>
            </w:r>
          </w:p>
        </w:tc>
        <w:tc>
          <w:tcPr>
            <w:tcW w:type="dxa" w:w="3322"/>
          </w:tcPr>
          <w:p>
            <w:pPr>
              <w:pStyle w:val="null3"/>
            </w:pPr>
            <w:r>
              <w:rPr>
                <w:rFonts w:ascii="仿宋_GB2312" w:hAnsi="仿宋_GB2312" w:cs="仿宋_GB2312" w:eastAsia="仿宋_GB2312"/>
              </w:rPr>
              <w:t>投标人须具有测绘行政主管部门颁发的乙级及以上测绘资质证书。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项目理解程度</w:t>
            </w:r>
          </w:p>
        </w:tc>
        <w:tc>
          <w:tcPr>
            <w:tcW w:type="dxa" w:w="2492"/>
          </w:tcPr>
          <w:p>
            <w:pPr>
              <w:pStyle w:val="null3"/>
            </w:pPr>
            <w:r>
              <w:rPr>
                <w:rFonts w:ascii="仿宋_GB2312" w:hAnsi="仿宋_GB2312" w:cs="仿宋_GB2312" w:eastAsia="仿宋_GB2312"/>
              </w:rPr>
              <w:t>根据投标人对本项目的理解、关键性技术、重点难点的解决方案进行评分： 1、对本项目理解全面透彻，针对本项目关键技术、重点、难点的解决方案科学、合理、完善、全面、具体、有亮点、可行性强，得8分； 2、对本项目理解全面，针对本项目关键技术、重点、难点的解决方案科学、合理、完善、全面、具体，得6分； 3、对本项目有一定理解，针对本项目关键技术、重点、难点的解决方案全面但不具体、可行性一般，得4分； 4、对本项目理解存在一定偏差，针对本项目关键技术、重点、难点的解决方案不够完善、无亮点、缺乏可行性，得2分。 5、对本项目不理解，针对本项目关键技术、重点、难点的解决方案有严重缺漏、或无可行性，得1分。 6、未提供或方案偏差过大得0分。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投标人对项目服务目标、服务内容、服务要求理解透彻，针对本项目制定规范化、完善的总体方案。 1、总体方案存在1处瑕疵计15分； 2、总体方案存在2处瑕疵计12分； 3、总体方案存在3处瑕疵计9分； 4、总体方案存在4处瑕疵计6分； 5、总体方案存在5处瑕疵计3分； 6、总体方案存在6处及以上瑕疵或未提供计0分。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投标人针对本项目提供具体的技术方案，包括但不限于工作计划、专业资料搜集与梳理等符合实际情况的具体措施。 1、技术方案存在1处瑕疵计10分； 2、技术方案存在2处瑕疵计7分； 3、技术方案存在3处瑕疵计4分； 4、技术方案存在4处瑕疵计2分； 5、技术方案存在5处及以上瑕疵或未提供计0分。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针对本项目收集、综合分析及成果有严格精准的质量控制体系。 1、质量控制存在1处瑕疵计7分； 2、质量控制存在2处瑕疵计5分； 3、质量控制存在3处瑕疵计3分； 4、工作流程存在4处瑕疵计1分； 5、质量控制存在5处及以上瑕疵或未提供计0分。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供应商根据采购需求对本项目有具体的工作进度安排。进度安排应详细、科学合理、具体可行。 1、进度安排存在1处瑕疵计6分； 2、进度安排存在2处瑕疵计4分； 3、进度安排存在3处瑕疵计2分； 4、进度安排存在4处及以上瑕疵或未提供计0分。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结合本项目实际情况编制合理化建议 1、合理化建议存在1处瑕疵计5分； 2、合理化建议存在2处瑕疵计3分； 3、合理化建议存在3处瑕疵计1分； 4、合理化建议存在4处及以上瑕疵或未提供计0分。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结合本项目实际情况编制，按照工作内容全面梳理项目实施各阶段工作流程。 1、工作流程存在1处瑕疵计7分； 2、工作流程存在2处瑕疵计5分； 3、工作流程存在3处瑕疵计3分； 4、工作流程存在4处瑕疵计1分； 5、工作流程存在5处及以上瑕疵或未提供计0分。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1、措施存在1处瑕疵计7分； 2、措施存在2处瑕疵计5分； 3、措施存在3处瑕疵计3分； 4、措施存在4处瑕疵计1分； 5、措施存在5处及以上瑕疵或未提供计0分。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根据投标人提供的拟投入本项目设备（软件及硬件）情况进行评审。设备配备充足、合理、满足本项目需求。 1、配备设备方案存在1处瑕疵计10分； 2、配备设备方案存在2处瑕疵计8分； 3、配备设备方案存在3处瑕疵计6分； 4、配备设备方案存在4处瑕疵计4分； 5、配备设备方案存在5处瑕疵计2分； 6、措施存在6处及以上瑕疵或未提供计0分。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本项目拟投入人员（含技术负责人）的工作经验及组织架构是否满足项目需求。架构合理，人员配置齐全、岗位分配合理、团队人员经验丰富，完全满足项目需求计6分； 架构及人员配置基本合理，满足项目需求计4分； 人员配置欠缺、不利于项目实施的计2分；未提供不计分。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1.拟派负责人具有注册测绘师资格证书，得3分；未提供不得分。 2.拟派负责人具有测绘正高级职称，得3分；具有测绘高级职称，得 2 分；具有测绘中级职称的，得1分。 注：项目拟派负责人须为投标人在职人员，提供证明材料（包括但不限于社保或劳动合同等）；未提供不得分。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投标人提供2021年6月至今类似项目业绩，每提供1份得1分，满分3分。注：业绩证明材料以复印件加盖公章为准，包括但不限于合同、中标通知书、委托函、任务书等。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