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版本号：SXHC2024-271-220250520001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福银高速（G70）西安至蓝田段扩能改造项目工可研技术审查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SXHC2024-271-2</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福银高速（G70）西安至蓝田段扩能改造项目工可研技术审查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SXHC2024-271-2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福银高速（G70）西安至蓝田段扩能改造项目工可研技术审查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路线起自西安绕城高速公路香王立交，沿现有福银高速以两侧加宽为主进行改扩建；经华胥镇、洩湖镇、三里镇后，止于蓝田南枢纽立交，全长32.1公里。香王立交至空工立交段和席家河立交至蓝田南枢纽立交段，长度18.7公里，按照双向六车道高速公路技术标准进行改扩建；空工立交至席家河立交段，长度13.4公里，将现状公路两侧硬路肩加宽至标准车道。全线共设互通式立交5处，服务区1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全国投资项目在线审批监管平台查询：供应商应为全国投资项目在线审批监管平台（http://www.tzxm.gov.cn/）备案的工程咨询单位，且工程咨询专业必须包含公路，服务范围必须包含评估咨询，且供应商名称与该名录中的相应企业名称完全一致。</w:t>
      </w:r>
    </w:p>
    <w:p>
      <w:pPr>
        <w:pStyle w:val="null3"/>
      </w:pPr>
      <w:r>
        <w:rPr>
          <w:rFonts w:ascii="仿宋_GB2312" w:hAnsi="仿宋_GB2312" w:cs="仿宋_GB2312" w:eastAsia="仿宋_GB2312"/>
        </w:rPr>
        <w:t>3、信誉要求：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w:t>
      </w:r>
    </w:p>
    <w:p>
      <w:pPr>
        <w:pStyle w:val="null3"/>
      </w:pPr>
      <w:r>
        <w:rPr>
          <w:rFonts w:ascii="仿宋_GB2312" w:hAnsi="仿宋_GB2312" w:cs="仿宋_GB2312" w:eastAsia="仿宋_GB2312"/>
        </w:rPr>
        <w:t>4、其他要求：若是本采购包内任何一个项目的可研报告编制单位，不得参与本采购包的投标。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88869037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开户名称：陕西华采招标有限公司</w:t>
            </w:r>
          </w:p>
          <w:p>
            <w:pPr>
              <w:pStyle w:val="null3"/>
            </w:pPr>
            <w:r>
              <w:rPr>
                <w:rFonts w:ascii="仿宋_GB2312" w:hAnsi="仿宋_GB2312" w:cs="仿宋_GB2312" w:eastAsia="仿宋_GB2312"/>
              </w:rPr>
              <w:t>开户银行：交通银行股份有限公司陕西自贸试验区西安锦业路支行</w:t>
            </w:r>
          </w:p>
          <w:p>
            <w:pPr>
              <w:pStyle w:val="null3"/>
            </w:pPr>
            <w:r>
              <w:rPr>
                <w:rFonts w:ascii="仿宋_GB2312" w:hAnsi="仿宋_GB2312" w:cs="仿宋_GB2312" w:eastAsia="仿宋_GB2312"/>
              </w:rPr>
              <w:t>银行账号：611301132018010166661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90%收取。 代理服务费缴纳信息如下： 银行户名：陕西华采招标有限公司 开户行名称：招商银行股份有限公司陕西自贸试验区西安高新科技支行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联系人：张瑞娜</w:t>
      </w:r>
    </w:p>
    <w:p>
      <w:pPr>
        <w:pStyle w:val="null3"/>
      </w:pPr>
      <w:r>
        <w:rPr>
          <w:rFonts w:ascii="仿宋_GB2312" w:hAnsi="仿宋_GB2312" w:cs="仿宋_GB2312" w:eastAsia="仿宋_GB2312"/>
        </w:rPr>
        <w:t>联系电话：029-68255920转808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路线起自西安绕城高速公路香王立交，沿现有福银高速以两侧加宽为主进行改扩建；经华胥镇、洩湖镇、三里镇后，止于蓝田南枢纽立交，全长32.1公里。香王立交至空工立交段和席家河立交至蓝田南枢纽立交段，长度18.7公里，按照双向六车道高速公路技术标准进行改扩建；空工立交至席家河立交段，长度13.4公里，将现状公路两侧硬路肩加宽至标准车道。全线共设互通式立交5处，服务区1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福银高速（G70）西安至蓝田段扩能改造项目工可研技术审查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标的名称：福银高速（G70）西安至蓝田段扩能改造项目工可研技术审查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rPr>
              <w:t>一、项目概况</w:t>
            </w:r>
          </w:p>
          <w:p>
            <w:pPr>
              <w:pStyle w:val="null3"/>
              <w:ind w:firstLine="482"/>
            </w:pPr>
            <w:r>
              <w:rPr>
                <w:rFonts w:ascii="仿宋_GB2312" w:hAnsi="仿宋_GB2312" w:cs="仿宋_GB2312" w:eastAsia="仿宋_GB2312"/>
                <w:sz w:val="24"/>
              </w:rPr>
              <w:t>项目路线起自西安绕城高速公路香王立交，沿现有福银高速以两侧加宽为主进行改扩建；经华胥镇、洩湖镇、三里镇后，止于蓝田南枢纽立交，全长</w:t>
            </w:r>
            <w:r>
              <w:rPr>
                <w:rFonts w:ascii="仿宋_GB2312" w:hAnsi="仿宋_GB2312" w:cs="仿宋_GB2312" w:eastAsia="仿宋_GB2312"/>
                <w:sz w:val="24"/>
              </w:rPr>
              <w:t>32.1公里。香王立交至空工立交段和席家河立交至蓝田南枢纽立交段，长度18.7公里，按照双向六车道高速公路技术标准进行改扩建；空工立交至席家河立交段，长度13.4公里，将现状公路两侧硬路肩加宽至标准车道。全线共设互通式立交5处，服务区1处</w:t>
            </w:r>
            <w:r>
              <w:rPr>
                <w:rFonts w:ascii="仿宋_GB2312" w:hAnsi="仿宋_GB2312" w:cs="仿宋_GB2312" w:eastAsia="仿宋_GB2312"/>
                <w:sz w:val="24"/>
              </w:rPr>
              <w:t>，估算总投资</w:t>
            </w:r>
            <w:r>
              <w:rPr>
                <w:rFonts w:ascii="仿宋_GB2312" w:hAnsi="仿宋_GB2312" w:cs="仿宋_GB2312" w:eastAsia="仿宋_GB2312"/>
                <w:sz w:val="24"/>
              </w:rPr>
              <w:t>28.5亿元。</w:t>
            </w:r>
          </w:p>
          <w:p>
            <w:pPr>
              <w:pStyle w:val="null3"/>
              <w:ind w:firstLine="482"/>
            </w:pPr>
            <w:r>
              <w:rPr>
                <w:rFonts w:ascii="仿宋_GB2312" w:hAnsi="仿宋_GB2312" w:cs="仿宋_GB2312" w:eastAsia="仿宋_GB2312"/>
                <w:sz w:val="24"/>
                <w:b/>
              </w:rPr>
              <w:t>二、服务要求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、总体要求</w:t>
            </w:r>
          </w:p>
          <w:p>
            <w:pPr>
              <w:pStyle w:val="null3"/>
              <w:ind w:firstLine="480"/>
            </w:pPr>
            <w:r>
              <w:rPr>
                <w:rFonts w:ascii="仿宋_GB2312" w:hAnsi="仿宋_GB2312" w:cs="仿宋_GB2312" w:eastAsia="仿宋_GB2312"/>
                <w:sz w:val="24"/>
              </w:rPr>
              <w:t>承担技术咨询任务的单位，应根据采购人关于本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、质量要求</w:t>
            </w:r>
          </w:p>
          <w:p>
            <w:pPr>
              <w:pStyle w:val="null3"/>
              <w:ind w:firstLine="480"/>
            </w:pPr>
            <w:r>
              <w:rPr>
                <w:rFonts w:ascii="仿宋_GB2312" w:hAnsi="仿宋_GB2312" w:cs="仿宋_GB2312" w:eastAsia="仿宋_GB2312"/>
                <w:sz w:val="24"/>
              </w:rPr>
              <w:t>承担技术咨询任务的单位，需按照现行有关规范标准和政策要求，负责对合同段内项目工可研报告开展技术咨询审查服务相关工作，出具项目工可研技术审查审查意见，以及需满足的质量、服务、安全、时限等要求。各合同段内项目的咨询审查内容包括但不限于项目建设的必要性和建设时机、标准规模的适应性，技术方案可行性和经济合理性、实施的可能性，基础资料的真实性及可靠性，以及可行性研究报告的编制工作深度等。</w:t>
            </w:r>
          </w:p>
          <w:p>
            <w:pPr>
              <w:pStyle w:val="null3"/>
              <w:ind w:firstLine="480"/>
            </w:pPr>
            <w:r>
              <w:rPr>
                <w:rFonts w:ascii="仿宋_GB2312" w:hAnsi="仿宋_GB2312" w:cs="仿宋_GB2312" w:eastAsia="仿宋_GB2312"/>
                <w:sz w:val="24"/>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3</w:t>
            </w:r>
            <w:r>
              <w:rPr>
                <w:rFonts w:ascii="仿宋_GB2312" w:hAnsi="仿宋_GB2312" w:cs="仿宋_GB2312" w:eastAsia="仿宋_GB2312"/>
                <w:sz w:val="24"/>
              </w:rPr>
              <w:t>、上述项目中，若存在受宏观政策变化等影响，且地方明确提出不再实施的项目，经双方友好协商，可对不再实施的项目予以更换调整为其他同等规模的类似项目，并签订相关补充协议。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自合同生效之日起，至项目工可研报告取得审批部门批复止（具体以合同签订为准）。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按照磋商文件要求和合同约定执行。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自本合同生效之日起，甲方收到乙方开具的全额合格增值税普通发票后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按照磋商文件要求和合同约定执行。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2023年度或2024年度经审计的财务报告，成立时间至提交响应文件截止时间不足一年的可提供成立后任意时段的资产负债表），或其开标前三个月内基本开户银行出具的资信证明，或信用担保机构出具的投标担保函支机构经审计的财务报告。（以上三种形式的资料提供任何一种即可）（以上内容响应文件中提供复印件或扫描件并进行电子签章）。</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全国投资项目在线审批监管平台查询</w:t>
            </w:r>
          </w:p>
        </w:tc>
        <w:tc>
          <w:tcPr>
            <w:tcW w:type="dxa" w:w="3322"/>
          </w:tcPr>
          <w:p>
            <w:pPr>
              <w:pStyle w:val="null3"/>
            </w:pPr>
            <w:r>
              <w:rPr>
                <w:rFonts w:ascii="仿宋_GB2312" w:hAnsi="仿宋_GB2312" w:cs="仿宋_GB2312" w:eastAsia="仿宋_GB2312"/>
              </w:rPr>
              <w:t>供应商应为全国投资项目在线审批监管平台（http://www.tzxm.gov.cn/）备案的工程咨询单位，且工程咨询专业必须包含公路，服务范围必须包含评估咨询，且供应商名称与该名录中的相应企业名称完全一致。</w:t>
            </w:r>
          </w:p>
        </w:tc>
        <w:tc>
          <w:tcPr>
            <w:tcW w:type="dxa" w:w="1661"/>
          </w:tcPr>
          <w:p>
            <w:pPr>
              <w:pStyle w:val="null3"/>
            </w:pPr>
            <w:r>
              <w:rPr>
                <w:rFonts w:ascii="仿宋_GB2312" w:hAnsi="仿宋_GB2312" w:cs="仿宋_GB2312" w:eastAsia="仿宋_GB2312"/>
              </w:rPr>
              <w:t>全国投资项目在线审批监管平台查询.docx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w:t>
            </w:r>
          </w:p>
        </w:tc>
        <w:tc>
          <w:tcPr>
            <w:tcW w:type="dxa" w:w="1661"/>
          </w:tcPr>
          <w:p>
            <w:pPr>
              <w:pStyle w:val="null3"/>
            </w:pPr>
            <w:r>
              <w:rPr>
                <w:rFonts w:ascii="仿宋_GB2312" w:hAnsi="仿宋_GB2312" w:cs="仿宋_GB2312" w:eastAsia="仿宋_GB2312"/>
              </w:rPr>
              <w:t>信誉要求.docx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若是本采购包内任何一个项目的可研报告编制单位，不得参与本采购包的投标。</w:t>
            </w:r>
          </w:p>
        </w:tc>
        <w:tc>
          <w:tcPr>
            <w:tcW w:type="dxa" w:w="1661"/>
          </w:tcPr>
          <w:p>
            <w:pPr>
              <w:pStyle w:val="null3"/>
            </w:pPr>
            <w:r>
              <w:rPr>
                <w:rFonts w:ascii="仿宋_GB2312" w:hAnsi="仿宋_GB2312" w:cs="仿宋_GB2312" w:eastAsia="仿宋_GB2312"/>
              </w:rPr>
              <w:t>其他要求.docx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 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按照磋商文件规定缴纳磋商保证金并响应文件中提供磋商保证金缴纳凭证</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一、评审内容 供应商针对本项目可研服务工作的理解，内容包含：①项目背景介绍及部署；②可研服务工作范围和内容；③目的和目标；④工作要求等方面。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②可研服务工作范围和内容：每完全满足一个评审标准得1分，基本满足得0.5分，不满足或未提供得0分，满分3分；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拟投入本项目的组织机构及人员配置方案</w:t>
            </w:r>
          </w:p>
        </w:tc>
        <w:tc>
          <w:tcPr>
            <w:tcW w:type="dxa" w:w="2492"/>
          </w:tcPr>
          <w:p>
            <w:pPr>
              <w:pStyle w:val="null3"/>
            </w:pPr>
            <w:r>
              <w:rPr>
                <w:rFonts w:ascii="仿宋_GB2312" w:hAnsi="仿宋_GB2312" w:cs="仿宋_GB2312" w:eastAsia="仿宋_GB2312"/>
              </w:rPr>
              <w:t>一、评审内容 供应商针对本项目采购需求，提供拟投入本项目的组织机构及人员配置方案，内容包含：①组织机构及岗位职责；②人员储备及从业经验；③组织安排计划；④团队管理制度等方面。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对本项目的总体思路、工作安排和各专业工程技术咨询特点的理解</w:t>
            </w:r>
          </w:p>
        </w:tc>
        <w:tc>
          <w:tcPr>
            <w:tcW w:type="dxa" w:w="2492"/>
          </w:tcPr>
          <w:p>
            <w:pPr>
              <w:pStyle w:val="null3"/>
            </w:pPr>
            <w:r>
              <w:rPr>
                <w:rFonts w:ascii="仿宋_GB2312" w:hAnsi="仿宋_GB2312" w:cs="仿宋_GB2312" w:eastAsia="仿宋_GB2312"/>
              </w:rPr>
              <w:t>一、评审内容 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对本项目的重难点分析、关键技术问题及对策措施</w:t>
            </w:r>
          </w:p>
        </w:tc>
        <w:tc>
          <w:tcPr>
            <w:tcW w:type="dxa" w:w="2492"/>
          </w:tcPr>
          <w:p>
            <w:pPr>
              <w:pStyle w:val="null3"/>
            </w:pPr>
            <w:r>
              <w:rPr>
                <w:rFonts w:ascii="仿宋_GB2312" w:hAnsi="仿宋_GB2312" w:cs="仿宋_GB2312" w:eastAsia="仿宋_GB2312"/>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4、客观真实性：内容客观、真实、可验证，确保方案准确可靠。 三、赋分标准 ①项目需求分析：每完全满足一个评审标准得1分，基本满足得0.5分，不满足或未提供得0分，满分4分； ②重难点分析：每完全满足一个评审标准得1分，基本满足得0.5分，不满足或未提供得0分，满分4分； ③关键技术问题分析：每完全满足一个评审标准得1分，基本满足得0.5分，不满足或未提供得0分，满分4分； ④相关对策措施：每完全满足一个评审标准得1分，基本满足得0.5分，不满足或未提供得0分，满分4分； ⑤合理化建议：每完全满足一个评审标准得1分，基本满足得0.5分，不满足或未提供得0分，满分4分。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对本项目的进度及质量保证措施</w:t>
            </w:r>
          </w:p>
        </w:tc>
        <w:tc>
          <w:tcPr>
            <w:tcW w:type="dxa" w:w="2492"/>
          </w:tcPr>
          <w:p>
            <w:pPr>
              <w:pStyle w:val="null3"/>
            </w:pPr>
            <w:r>
              <w:rPr>
                <w:rFonts w:ascii="仿宋_GB2312" w:hAnsi="仿宋_GB2312" w:cs="仿宋_GB2312" w:eastAsia="仿宋_GB2312"/>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2020年01月01日至今，具有1个同类业绩，得4分，不满足该项要求不得分。每增加1个同类业绩加1分，最多加6分。 注：提供中标（成交) 通知书或合同复印件加盖公章，合同内容完整，未提供不得分。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企业业绩的有关证明材料.docx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1、具有公路相关专业高级工程师及以上职称，得5分。 注：提供项目负责人2025年度连续3个月的社保缴纳证明资料，并提供证书复印件加盖公章，未提供不得分。 2、 2020年01月01日至今，担任过1个同类业绩的项目负责人（或专项负责人），得4分，不满足该项要求不得分。每增加1个同类项目负责人（或专项负责人）的业绩，加2分，最多加6分。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详见附件：全国投资项目在线审批监管平台查询.docx</w:t>
      </w:r>
    </w:p>
    <w:p>
      <w:pPr>
        <w:pStyle w:val="null3"/>
        <w:ind w:firstLine="960"/>
      </w:pPr>
      <w:r>
        <w:rPr>
          <w:rFonts w:ascii="仿宋_GB2312" w:hAnsi="仿宋_GB2312" w:cs="仿宋_GB2312" w:eastAsia="仿宋_GB2312"/>
        </w:rPr>
        <w:t>详见附件：其他要求.docx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详见附件：项目负责人业绩的有关证明材料.docx</w:t>
      </w:r>
    </w:p>
    <w:p>
      <w:pPr>
        <w:pStyle w:val="null3"/>
        <w:ind w:firstLine="960"/>
      </w:pPr>
      <w:r>
        <w:rPr>
          <w:rFonts w:ascii="仿宋_GB2312" w:hAnsi="仿宋_GB2312" w:cs="仿宋_GB2312" w:eastAsia="仿宋_GB2312"/>
        </w:rPr>
        <w:t>详见附件：企业业绩的有关证明材料.docx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