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C8698D">
      <w:pPr>
        <w:rPr>
          <w:rFonts w:hint="eastAsia" w:ascii="宋体" w:hAnsi="宋体" w:eastAsia="宋体" w:cs="宋体"/>
          <w:b/>
          <w:bCs/>
          <w:color w:val="000000"/>
          <w:kern w:val="28"/>
          <w:szCs w:val="24"/>
        </w:rPr>
      </w:pPr>
      <w:r>
        <w:rPr>
          <w:rFonts w:hint="eastAsia" w:ascii="宋体" w:hAnsi="宋体" w:eastAsia="宋体" w:cs="宋体"/>
          <w:b/>
          <w:bCs/>
          <w:color w:val="000000"/>
          <w:kern w:val="28"/>
          <w:szCs w:val="24"/>
          <w:lang w:bidi="ar"/>
        </w:rPr>
        <w:t>需方(甲方)：陕西省康复医院</w:t>
      </w:r>
    </w:p>
    <w:p w14:paraId="14F9E6BC">
      <w:pPr>
        <w:spacing w:line="360" w:lineRule="auto"/>
        <w:ind w:firstLine="420" w:firstLineChars="200"/>
        <w:rPr>
          <w:rFonts w:hint="eastAsia" w:ascii="宋体" w:hAnsi="宋体" w:eastAsia="宋体" w:cs="宋体"/>
          <w:color w:val="000000"/>
          <w:kern w:val="28"/>
          <w:szCs w:val="24"/>
        </w:rPr>
      </w:pPr>
      <w:r>
        <w:rPr>
          <w:rFonts w:hint="eastAsia" w:ascii="宋体" w:hAnsi="宋体" w:eastAsia="宋体" w:cs="宋体"/>
          <w:color w:val="000000"/>
          <w:kern w:val="28"/>
          <w:szCs w:val="24"/>
          <w:lang w:bidi="ar"/>
        </w:rPr>
        <w:t>地      址：西安市雁塔区电子二</w:t>
      </w:r>
      <w:r>
        <w:rPr>
          <w:rFonts w:hint="eastAsia" w:ascii="宋体" w:hAnsi="宋体" w:eastAsia="宋体" w:cs="宋体"/>
          <w:color w:val="000000"/>
          <w:kern w:val="28"/>
          <w:szCs w:val="24"/>
          <w:lang w:eastAsia="zh-CN" w:bidi="ar"/>
        </w:rPr>
        <w:t>路</w:t>
      </w:r>
      <w:r>
        <w:rPr>
          <w:rFonts w:hint="eastAsia" w:ascii="宋体" w:hAnsi="宋体" w:eastAsia="宋体" w:cs="宋体"/>
          <w:color w:val="000000"/>
          <w:kern w:val="28"/>
          <w:szCs w:val="24"/>
          <w:lang w:bidi="ar"/>
        </w:rPr>
        <w:t>52号</w:t>
      </w:r>
    </w:p>
    <w:p w14:paraId="2CB23971">
      <w:pPr>
        <w:spacing w:line="360" w:lineRule="auto"/>
        <w:ind w:firstLine="420" w:firstLineChars="200"/>
        <w:rPr>
          <w:rFonts w:hint="eastAsia" w:ascii="宋体" w:hAnsi="宋体" w:eastAsia="宋体" w:cs="宋体"/>
          <w:color w:val="000000"/>
          <w:kern w:val="28"/>
          <w:szCs w:val="24"/>
          <w:lang w:bidi="ar"/>
        </w:rPr>
      </w:pPr>
      <w:r>
        <w:rPr>
          <w:rFonts w:hint="eastAsia" w:ascii="宋体" w:hAnsi="宋体" w:eastAsia="宋体" w:cs="宋体"/>
          <w:color w:val="000000"/>
          <w:kern w:val="28"/>
          <w:szCs w:val="24"/>
          <w:lang w:bidi="ar"/>
        </w:rPr>
        <w:t>电      话：</w:t>
      </w:r>
    </w:p>
    <w:p w14:paraId="29B6BC1E">
      <w:pPr>
        <w:spacing w:line="360" w:lineRule="auto"/>
        <w:ind w:firstLine="420" w:firstLineChars="200"/>
        <w:rPr>
          <w:rFonts w:hint="eastAsia" w:ascii="宋体" w:hAnsi="宋体" w:eastAsia="宋体" w:cs="宋体"/>
          <w:color w:val="000000"/>
          <w:kern w:val="28"/>
          <w:szCs w:val="24"/>
        </w:rPr>
      </w:pPr>
      <w:r>
        <w:rPr>
          <w:rFonts w:hint="eastAsia" w:ascii="宋体" w:hAnsi="宋体" w:eastAsia="宋体" w:cs="宋体"/>
          <w:color w:val="000000"/>
          <w:kern w:val="28"/>
          <w:szCs w:val="24"/>
          <w:lang w:bidi="ar"/>
        </w:rPr>
        <w:t>邮      编：710065</w:t>
      </w:r>
    </w:p>
    <w:p w14:paraId="647AB310">
      <w:pPr>
        <w:spacing w:line="360" w:lineRule="auto"/>
        <w:ind w:firstLineChars="200"/>
        <w:rPr>
          <w:rFonts w:hint="eastAsia" w:ascii="宋体" w:hAnsi="宋体" w:eastAsia="宋体" w:cs="宋体"/>
          <w:b/>
          <w:bCs/>
          <w:color w:val="000000"/>
          <w:kern w:val="28"/>
          <w:szCs w:val="24"/>
        </w:rPr>
      </w:pPr>
      <w:r>
        <w:rPr>
          <w:rFonts w:hint="eastAsia" w:ascii="宋体" w:hAnsi="宋体" w:eastAsia="宋体" w:cs="宋体"/>
          <w:b/>
          <w:bCs/>
          <w:color w:val="000000"/>
          <w:kern w:val="28"/>
          <w:szCs w:val="24"/>
          <w:lang w:bidi="ar"/>
        </w:rPr>
        <w:t xml:space="preserve">供方(乙方)： </w:t>
      </w:r>
    </w:p>
    <w:p w14:paraId="00557C67">
      <w:pPr>
        <w:spacing w:line="360" w:lineRule="auto"/>
        <w:ind w:left="479" w:leftChars="228" w:firstLine="0"/>
        <w:rPr>
          <w:rFonts w:hint="eastAsia" w:ascii="宋体" w:hAnsi="宋体" w:eastAsia="宋体" w:cs="宋体"/>
          <w:color w:val="000000"/>
          <w:kern w:val="28"/>
          <w:szCs w:val="24"/>
        </w:rPr>
      </w:pPr>
      <w:r>
        <w:rPr>
          <w:rFonts w:hint="eastAsia" w:ascii="宋体" w:hAnsi="宋体" w:eastAsia="宋体" w:cs="宋体"/>
          <w:color w:val="000000"/>
          <w:kern w:val="28"/>
          <w:szCs w:val="24"/>
          <w:lang w:bidi="ar"/>
        </w:rPr>
        <w:t>地      址：</w:t>
      </w:r>
    </w:p>
    <w:p w14:paraId="671AE055">
      <w:pPr>
        <w:spacing w:line="360" w:lineRule="auto"/>
        <w:ind w:firstLine="420" w:firstLineChars="200"/>
        <w:rPr>
          <w:rFonts w:hint="eastAsia" w:ascii="宋体" w:hAnsi="宋体" w:eastAsia="宋体" w:cs="宋体"/>
          <w:color w:val="000000"/>
          <w:kern w:val="28"/>
          <w:szCs w:val="24"/>
        </w:rPr>
      </w:pPr>
      <w:r>
        <w:rPr>
          <w:rFonts w:hint="eastAsia" w:ascii="宋体" w:hAnsi="宋体" w:eastAsia="宋体" w:cs="宋体"/>
          <w:color w:val="000000"/>
          <w:kern w:val="28"/>
          <w:szCs w:val="24"/>
          <w:lang w:bidi="ar"/>
        </w:rPr>
        <w:t xml:space="preserve">电      话：    </w:t>
      </w:r>
    </w:p>
    <w:p w14:paraId="469CA4C9">
      <w:pPr>
        <w:spacing w:line="360" w:lineRule="auto"/>
        <w:ind w:firstLine="420" w:firstLineChars="200"/>
        <w:rPr>
          <w:rFonts w:hint="eastAsia" w:ascii="宋体" w:hAnsi="宋体" w:eastAsia="宋体" w:cs="宋体"/>
          <w:color w:val="000000"/>
          <w:kern w:val="28"/>
          <w:szCs w:val="24"/>
          <w:lang w:eastAsia="zh-CN"/>
        </w:rPr>
      </w:pPr>
      <w:r>
        <w:rPr>
          <w:rFonts w:hint="eastAsia" w:ascii="宋体" w:hAnsi="宋体" w:eastAsia="宋体" w:cs="宋体"/>
          <w:color w:val="000000"/>
          <w:kern w:val="28"/>
          <w:szCs w:val="24"/>
          <w:lang w:bidi="ar"/>
        </w:rPr>
        <w:t>邮      编：</w:t>
      </w:r>
    </w:p>
    <w:p w14:paraId="51C241E6">
      <w:pPr>
        <w:spacing w:line="360" w:lineRule="auto"/>
        <w:ind w:firstLine="420" w:firstLineChars="200"/>
        <w:rPr>
          <w:rFonts w:hint="eastAsia" w:ascii="宋体" w:hAnsi="宋体" w:eastAsia="宋体" w:cs="宋体"/>
          <w:color w:val="000000"/>
          <w:kern w:val="28"/>
          <w:szCs w:val="24"/>
          <w:lang w:eastAsia="zh-CN"/>
        </w:rPr>
      </w:pPr>
      <w:r>
        <w:rPr>
          <w:rFonts w:hint="eastAsia" w:ascii="宋体" w:hAnsi="宋体" w:eastAsia="宋体" w:cs="宋体"/>
          <w:color w:val="000000"/>
          <w:kern w:val="28"/>
          <w:szCs w:val="24"/>
          <w:lang w:bidi="ar"/>
        </w:rPr>
        <w:t>联  系  人：</w:t>
      </w:r>
      <w:bookmarkStart w:id="0" w:name="_GoBack"/>
      <w:bookmarkEnd w:id="0"/>
    </w:p>
    <w:p w14:paraId="13F60B73">
      <w:pPr>
        <w:spacing w:line="360" w:lineRule="auto"/>
        <w:ind w:firstLineChars="200"/>
        <w:rPr>
          <w:rFonts w:hint="eastAsia" w:ascii="宋体" w:hAnsi="宋体" w:eastAsia="宋体" w:cs="宋体"/>
          <w:szCs w:val="24"/>
          <w:lang w:eastAsia="zh-CN"/>
        </w:rPr>
      </w:pPr>
      <w:r>
        <w:rPr>
          <w:rFonts w:hint="eastAsia" w:ascii="宋体" w:hAnsi="宋体" w:eastAsia="宋体" w:cs="宋体"/>
          <w:b/>
          <w:bCs/>
          <w:color w:val="000000"/>
          <w:kern w:val="28"/>
          <w:szCs w:val="24"/>
          <w:lang w:bidi="ar"/>
        </w:rPr>
        <w:t xml:space="preserve">签约地点：西安市雁塔区 </w:t>
      </w:r>
    </w:p>
    <w:p w14:paraId="22E45E15">
      <w:pPr>
        <w:topLinePunct/>
        <w:spacing w:line="360" w:lineRule="auto"/>
        <w:ind w:firstLine="420" w:firstLineChars="200"/>
        <w:rPr>
          <w:rFonts w:hint="eastAsia" w:ascii="宋体" w:hAnsi="宋体" w:eastAsia="宋体" w:cs="宋体"/>
          <w:color w:val="000000"/>
          <w:szCs w:val="24"/>
          <w:lang w:bidi="ar"/>
        </w:rPr>
      </w:pPr>
      <w:r>
        <w:rPr>
          <w:rFonts w:hint="eastAsia" w:ascii="宋体" w:hAnsi="宋体" w:eastAsia="宋体" w:cs="宋体"/>
          <w:color w:val="000000"/>
          <w:szCs w:val="24"/>
          <w:lang w:bidi="ar"/>
        </w:rPr>
        <w:t>根据《中华人民共和国民法典》的规定和</w:t>
      </w:r>
      <w:r>
        <w:rPr>
          <w:rFonts w:hint="eastAsia" w:ascii="宋体" w:hAnsi="宋体" w:eastAsia="宋体" w:cs="宋体"/>
          <w:color w:val="000000"/>
          <w:szCs w:val="24"/>
          <w:lang w:eastAsia="zh-CN" w:bidi="ar"/>
        </w:rPr>
        <w:t>甲方</w:t>
      </w:r>
      <w:r>
        <w:rPr>
          <w:rFonts w:hint="eastAsia" w:ascii="宋体" w:hAnsi="宋体" w:eastAsia="宋体" w:cs="宋体"/>
          <w:color w:val="000000"/>
          <w:szCs w:val="24"/>
          <w:lang w:bidi="ar"/>
        </w:rPr>
        <w:t>需求，本着平等互利、协商一致的原则，经甲乙双方友好协商，特订立本合同，共同遵守。</w:t>
      </w:r>
    </w:p>
    <w:p w14:paraId="5ADC4061">
      <w:pPr>
        <w:topLinePunct/>
        <w:spacing w:line="360" w:lineRule="auto"/>
        <w:rPr>
          <w:rFonts w:hint="eastAsia" w:ascii="宋体" w:hAnsi="宋体" w:eastAsia="宋体" w:cs="宋体"/>
          <w:b/>
          <w:bCs/>
          <w:color w:val="000000"/>
          <w:szCs w:val="24"/>
          <w:lang w:val="en-US" w:eastAsia="zh-CN"/>
        </w:rPr>
      </w:pPr>
      <w:r>
        <w:rPr>
          <w:rFonts w:hint="eastAsia" w:ascii="宋体" w:hAnsi="宋体" w:eastAsia="宋体" w:cs="宋体"/>
          <w:b/>
          <w:bCs/>
          <w:color w:val="000000"/>
          <w:szCs w:val="24"/>
          <w:lang w:eastAsia="zh-CN" w:bidi="ar"/>
        </w:rPr>
        <w:t>一、</w:t>
      </w:r>
      <w:r>
        <w:rPr>
          <w:rFonts w:hint="eastAsia" w:ascii="宋体" w:hAnsi="宋体" w:eastAsia="宋体" w:cs="宋体"/>
          <w:b/>
          <w:bCs/>
          <w:color w:val="000000"/>
          <w:szCs w:val="24"/>
          <w:lang w:bidi="ar"/>
        </w:rPr>
        <w:t>标的名称、规格</w:t>
      </w:r>
      <w:r>
        <w:rPr>
          <w:rFonts w:hint="eastAsia" w:ascii="宋体" w:hAnsi="宋体" w:eastAsia="宋体" w:cs="宋体"/>
          <w:b/>
          <w:bCs/>
          <w:color w:val="000000"/>
          <w:szCs w:val="24"/>
          <w:lang w:eastAsia="zh-CN" w:bidi="ar"/>
        </w:rPr>
        <w:t>、</w:t>
      </w:r>
      <w:r>
        <w:rPr>
          <w:rFonts w:hint="eastAsia" w:ascii="宋体" w:hAnsi="宋体" w:eastAsia="宋体" w:cs="宋体"/>
          <w:b/>
          <w:bCs/>
          <w:color w:val="000000"/>
          <w:szCs w:val="24"/>
          <w:lang w:bidi="ar"/>
        </w:rPr>
        <w:t>数量、</w:t>
      </w:r>
      <w:r>
        <w:rPr>
          <w:rFonts w:hint="eastAsia" w:ascii="宋体" w:hAnsi="宋体" w:eastAsia="宋体" w:cs="宋体"/>
          <w:b/>
          <w:bCs/>
          <w:color w:val="000000"/>
          <w:szCs w:val="24"/>
          <w:lang w:val="en-US" w:eastAsia="zh-CN" w:bidi="ar"/>
        </w:rPr>
        <w:t>成交单价及合计</w:t>
      </w:r>
    </w:p>
    <w:tbl>
      <w:tblPr>
        <w:tblStyle w:val="5"/>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375"/>
        <w:gridCol w:w="1188"/>
        <w:gridCol w:w="1560"/>
        <w:gridCol w:w="1186"/>
        <w:gridCol w:w="1700"/>
        <w:gridCol w:w="1709"/>
      </w:tblGrid>
      <w:tr w14:paraId="09167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185D87E6">
            <w:pPr>
              <w:topLinePunct/>
              <w:ind w:firstLine="0"/>
              <w:jc w:val="center"/>
              <w:rPr>
                <w:rFonts w:hint="eastAsia" w:ascii="宋体" w:hAnsi="宋体" w:eastAsia="宋体" w:cs="宋体"/>
                <w:color w:val="000000"/>
                <w:szCs w:val="24"/>
              </w:rPr>
            </w:pPr>
            <w:r>
              <w:rPr>
                <w:rFonts w:hint="eastAsia" w:ascii="宋体" w:hAnsi="宋体" w:eastAsia="宋体" w:cs="宋体"/>
                <w:color w:val="000000"/>
                <w:szCs w:val="24"/>
                <w:lang w:val="en-US" w:eastAsia="zh-CN" w:bidi="ar"/>
              </w:rPr>
              <w:t>序号</w:t>
            </w:r>
          </w:p>
        </w:tc>
        <w:tc>
          <w:tcPr>
            <w:tcW w:w="1375" w:type="dxa"/>
            <w:tcBorders>
              <w:top w:val="single" w:color="auto" w:sz="4" w:space="0"/>
              <w:left w:val="single" w:color="auto" w:sz="4" w:space="0"/>
              <w:bottom w:val="single" w:color="auto" w:sz="4" w:space="0"/>
              <w:right w:val="single" w:color="auto" w:sz="4" w:space="0"/>
            </w:tcBorders>
            <w:vAlign w:val="center"/>
          </w:tcPr>
          <w:p w14:paraId="7A216DE3">
            <w:pPr>
              <w:topLinePunct/>
              <w:ind w:firstLine="0"/>
              <w:jc w:val="center"/>
              <w:rPr>
                <w:rFonts w:hint="eastAsia" w:ascii="宋体" w:hAnsi="宋体" w:eastAsia="宋体" w:cs="宋体"/>
                <w:color w:val="000000"/>
                <w:szCs w:val="24"/>
              </w:rPr>
            </w:pPr>
            <w:r>
              <w:rPr>
                <w:rFonts w:hint="eastAsia" w:ascii="宋体" w:hAnsi="宋体" w:eastAsia="宋体" w:cs="宋体"/>
                <w:color w:val="000000"/>
                <w:szCs w:val="24"/>
                <w:lang w:bidi="ar"/>
              </w:rPr>
              <w:t>标的名称</w:t>
            </w:r>
          </w:p>
        </w:tc>
        <w:tc>
          <w:tcPr>
            <w:tcW w:w="1188" w:type="dxa"/>
            <w:tcBorders>
              <w:top w:val="single" w:color="auto" w:sz="4" w:space="0"/>
              <w:left w:val="single" w:color="auto" w:sz="4" w:space="0"/>
              <w:bottom w:val="single" w:color="auto" w:sz="4" w:space="0"/>
              <w:right w:val="single" w:color="auto" w:sz="4" w:space="0"/>
            </w:tcBorders>
            <w:vAlign w:val="center"/>
          </w:tcPr>
          <w:p w14:paraId="6686D74E">
            <w:pPr>
              <w:topLinePunct/>
              <w:ind w:firstLine="0"/>
              <w:jc w:val="center"/>
              <w:rPr>
                <w:rFonts w:hint="eastAsia" w:ascii="宋体" w:hAnsi="宋体" w:eastAsia="宋体" w:cs="宋体"/>
                <w:color w:val="000000"/>
                <w:szCs w:val="24"/>
                <w:lang w:eastAsia="zh-CN"/>
              </w:rPr>
            </w:pPr>
            <w:r>
              <w:rPr>
                <w:rFonts w:hint="eastAsia" w:ascii="宋体" w:hAnsi="宋体" w:eastAsia="宋体" w:cs="宋体"/>
                <w:color w:val="000000"/>
                <w:szCs w:val="24"/>
                <w:lang w:val="en-US" w:eastAsia="zh-CN" w:bidi="ar"/>
              </w:rPr>
              <w:t>规格</w:t>
            </w:r>
          </w:p>
        </w:tc>
        <w:tc>
          <w:tcPr>
            <w:tcW w:w="1560" w:type="dxa"/>
            <w:tcBorders>
              <w:top w:val="single" w:color="auto" w:sz="4" w:space="0"/>
              <w:left w:val="single" w:color="auto" w:sz="4" w:space="0"/>
              <w:bottom w:val="single" w:color="auto" w:sz="4" w:space="0"/>
              <w:right w:val="single" w:color="auto" w:sz="4" w:space="0"/>
            </w:tcBorders>
            <w:vAlign w:val="center"/>
          </w:tcPr>
          <w:p w14:paraId="56513149">
            <w:pPr>
              <w:topLinePunct/>
              <w:ind w:firstLine="0"/>
              <w:jc w:val="center"/>
              <w:rPr>
                <w:rFonts w:hint="eastAsia" w:ascii="宋体" w:hAnsi="宋体" w:eastAsia="宋体" w:cs="宋体"/>
                <w:color w:val="000000"/>
                <w:szCs w:val="24"/>
                <w:lang w:eastAsia="zh-CN"/>
              </w:rPr>
            </w:pPr>
            <w:r>
              <w:rPr>
                <w:rFonts w:hint="eastAsia" w:ascii="宋体" w:hAnsi="宋体" w:eastAsia="宋体" w:cs="宋体"/>
                <w:color w:val="000000"/>
                <w:szCs w:val="24"/>
                <w:lang w:val="en-US" w:eastAsia="zh-CN" w:bidi="ar"/>
              </w:rPr>
              <w:t>单位</w:t>
            </w:r>
          </w:p>
        </w:tc>
        <w:tc>
          <w:tcPr>
            <w:tcW w:w="1186" w:type="dxa"/>
            <w:tcBorders>
              <w:top w:val="single" w:color="auto" w:sz="4" w:space="0"/>
              <w:left w:val="single" w:color="auto" w:sz="4" w:space="0"/>
              <w:bottom w:val="single" w:color="auto" w:sz="4" w:space="0"/>
              <w:right w:val="single" w:color="auto" w:sz="4" w:space="0"/>
            </w:tcBorders>
            <w:vAlign w:val="center"/>
          </w:tcPr>
          <w:p w14:paraId="7E51AC1E">
            <w:pPr>
              <w:topLinePunct/>
              <w:ind w:firstLine="0" w:firstLineChars="0"/>
              <w:jc w:val="center"/>
              <w:rPr>
                <w:rFonts w:hint="eastAsia" w:ascii="宋体" w:hAnsi="宋体" w:eastAsia="宋体" w:cs="宋体"/>
                <w:snapToGrid w:val="0"/>
                <w:color w:val="000000"/>
                <w:kern w:val="0"/>
                <w:sz w:val="21"/>
                <w:szCs w:val="24"/>
                <w:lang w:val="en-US" w:eastAsia="zh-CN"/>
              </w:rPr>
            </w:pPr>
            <w:r>
              <w:rPr>
                <w:rFonts w:hint="eastAsia" w:ascii="宋体" w:hAnsi="宋体" w:eastAsia="宋体" w:cs="宋体"/>
                <w:color w:val="000000"/>
                <w:szCs w:val="24"/>
                <w:lang w:val="en-US" w:eastAsia="zh-CN" w:bidi="ar"/>
              </w:rPr>
              <w:t>成交单价（元）</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14:paraId="15FD256B">
            <w:pPr>
              <w:topLinePunct/>
              <w:ind w:firstLine="0" w:firstLineChars="0"/>
              <w:jc w:val="center"/>
              <w:rPr>
                <w:rFonts w:hint="eastAsia" w:ascii="宋体" w:hAnsi="宋体" w:eastAsia="宋体" w:cs="宋体"/>
                <w:snapToGrid w:val="0"/>
                <w:color w:val="000000"/>
                <w:kern w:val="0"/>
                <w:sz w:val="21"/>
                <w:szCs w:val="24"/>
                <w:lang w:eastAsia="zh-CN"/>
              </w:rPr>
            </w:pPr>
            <w:r>
              <w:rPr>
                <w:rFonts w:hint="eastAsia" w:ascii="宋体" w:hAnsi="宋体" w:eastAsia="宋体" w:cs="宋体"/>
                <w:color w:val="000000"/>
                <w:szCs w:val="24"/>
                <w:lang w:val="en-US" w:eastAsia="zh-CN" w:bidi="ar"/>
              </w:rPr>
              <w:t>需求量</w:t>
            </w:r>
          </w:p>
        </w:tc>
        <w:tc>
          <w:tcPr>
            <w:tcW w:w="1709" w:type="dxa"/>
            <w:tcBorders>
              <w:top w:val="single" w:color="auto" w:sz="4" w:space="0"/>
              <w:left w:val="single" w:color="auto" w:sz="4" w:space="0"/>
              <w:bottom w:val="single" w:color="auto" w:sz="4" w:space="0"/>
              <w:right w:val="single" w:color="auto" w:sz="4" w:space="0"/>
            </w:tcBorders>
            <w:shd w:val="clear" w:color="auto" w:fill="auto"/>
            <w:vAlign w:val="center"/>
          </w:tcPr>
          <w:p w14:paraId="2F62D21A">
            <w:pPr>
              <w:topLinePunct/>
              <w:ind w:firstLine="0" w:firstLineChars="0"/>
              <w:jc w:val="center"/>
              <w:rPr>
                <w:rFonts w:hint="eastAsia" w:ascii="宋体" w:hAnsi="宋体" w:eastAsia="宋体" w:cs="宋体"/>
                <w:snapToGrid w:val="0"/>
                <w:color w:val="000000"/>
                <w:kern w:val="0"/>
                <w:sz w:val="21"/>
                <w:szCs w:val="24"/>
                <w:lang w:eastAsia="zh-CN"/>
              </w:rPr>
            </w:pPr>
            <w:r>
              <w:rPr>
                <w:rFonts w:hint="eastAsia" w:ascii="宋体" w:hAnsi="宋体" w:eastAsia="宋体" w:cs="宋体"/>
                <w:color w:val="000000"/>
                <w:szCs w:val="24"/>
                <w:lang w:val="en-US" w:eastAsia="zh-CN" w:bidi="ar"/>
              </w:rPr>
              <w:t>单项合计（元）</w:t>
            </w:r>
          </w:p>
        </w:tc>
      </w:tr>
      <w:tr w14:paraId="41341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4D0754A7">
            <w:pPr>
              <w:widowControl/>
              <w:ind w:firstLine="0"/>
              <w:rPr>
                <w:rFonts w:hint="eastAsia" w:ascii="宋体" w:hAnsi="宋体" w:eastAsia="宋体" w:cs="宋体"/>
                <w:color w:val="000000"/>
                <w:szCs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7ABAAC93">
            <w:pPr>
              <w:topLinePunct/>
              <w:spacing w:line="360" w:lineRule="auto"/>
              <w:ind w:firstLine="0"/>
              <w:jc w:val="center"/>
              <w:rPr>
                <w:rFonts w:hint="eastAsia" w:ascii="宋体" w:hAnsi="宋体" w:eastAsia="宋体" w:cs="宋体"/>
                <w:color w:val="000000"/>
                <w:szCs w:val="24"/>
                <w:lang w:eastAsia="zh-CN"/>
              </w:rPr>
            </w:pPr>
          </w:p>
        </w:tc>
        <w:tc>
          <w:tcPr>
            <w:tcW w:w="1188" w:type="dxa"/>
            <w:tcBorders>
              <w:top w:val="single" w:color="auto" w:sz="4" w:space="0"/>
              <w:left w:val="single" w:color="auto" w:sz="4" w:space="0"/>
              <w:bottom w:val="single" w:color="auto" w:sz="4" w:space="0"/>
              <w:right w:val="single" w:color="auto" w:sz="4" w:space="0"/>
            </w:tcBorders>
            <w:vAlign w:val="center"/>
          </w:tcPr>
          <w:p w14:paraId="03FBD447">
            <w:pPr>
              <w:topLinePunct/>
              <w:spacing w:line="360" w:lineRule="auto"/>
              <w:ind w:firstLine="0"/>
              <w:jc w:val="center"/>
              <w:rPr>
                <w:rFonts w:hint="eastAsia" w:ascii="宋体" w:hAnsi="宋体" w:eastAsia="宋体" w:cs="宋体"/>
                <w:color w:val="000000"/>
                <w:szCs w:val="24"/>
                <w:lang w:eastAsia="zh-CN"/>
              </w:rPr>
            </w:pPr>
          </w:p>
        </w:tc>
        <w:tc>
          <w:tcPr>
            <w:tcW w:w="1560" w:type="dxa"/>
            <w:tcBorders>
              <w:top w:val="single" w:color="auto" w:sz="4" w:space="0"/>
              <w:left w:val="single" w:color="auto" w:sz="4" w:space="0"/>
              <w:bottom w:val="single" w:color="auto" w:sz="4" w:space="0"/>
              <w:right w:val="single" w:color="auto" w:sz="4" w:space="0"/>
            </w:tcBorders>
            <w:vAlign w:val="center"/>
          </w:tcPr>
          <w:p w14:paraId="4AF2361E">
            <w:pPr>
              <w:topLinePunct/>
              <w:spacing w:line="360" w:lineRule="auto"/>
              <w:ind w:firstLine="0"/>
              <w:jc w:val="center"/>
              <w:rPr>
                <w:rFonts w:hint="eastAsia" w:ascii="宋体" w:hAnsi="宋体" w:eastAsia="宋体" w:cs="宋体"/>
                <w:color w:val="000000"/>
                <w:szCs w:val="24"/>
                <w:lang w:eastAsia="zh-CN"/>
              </w:rPr>
            </w:pPr>
          </w:p>
        </w:tc>
        <w:tc>
          <w:tcPr>
            <w:tcW w:w="1186" w:type="dxa"/>
            <w:tcBorders>
              <w:top w:val="single" w:color="auto" w:sz="4" w:space="0"/>
              <w:left w:val="single" w:color="auto" w:sz="4" w:space="0"/>
              <w:bottom w:val="single" w:color="auto" w:sz="4" w:space="0"/>
              <w:right w:val="single" w:color="auto" w:sz="4" w:space="0"/>
            </w:tcBorders>
            <w:vAlign w:val="center"/>
          </w:tcPr>
          <w:p w14:paraId="2FC55A43">
            <w:pPr>
              <w:topLinePunct/>
              <w:spacing w:line="360" w:lineRule="auto"/>
              <w:ind w:firstLine="0"/>
              <w:jc w:val="center"/>
              <w:rPr>
                <w:rFonts w:hint="eastAsia" w:ascii="宋体" w:hAnsi="宋体" w:eastAsia="宋体" w:cs="宋体"/>
                <w:color w:val="000000"/>
                <w:szCs w:val="24"/>
                <w:lang w:eastAsia="zh-CN"/>
              </w:rPr>
            </w:pPr>
          </w:p>
        </w:tc>
        <w:tc>
          <w:tcPr>
            <w:tcW w:w="1700" w:type="dxa"/>
            <w:tcBorders>
              <w:top w:val="single" w:color="auto" w:sz="4" w:space="0"/>
              <w:left w:val="single" w:color="auto" w:sz="4" w:space="0"/>
              <w:bottom w:val="single" w:color="auto" w:sz="4" w:space="0"/>
              <w:right w:val="single" w:color="auto" w:sz="4" w:space="0"/>
            </w:tcBorders>
            <w:vAlign w:val="center"/>
          </w:tcPr>
          <w:p w14:paraId="2AACA2A3">
            <w:pPr>
              <w:topLinePunct/>
              <w:spacing w:line="360" w:lineRule="auto"/>
              <w:ind w:firstLine="0"/>
              <w:jc w:val="center"/>
              <w:rPr>
                <w:rFonts w:hint="eastAsia" w:ascii="宋体" w:hAnsi="宋体" w:eastAsia="宋体" w:cs="宋体"/>
                <w:szCs w:val="24"/>
                <w:lang w:eastAsia="zh-CN"/>
              </w:rPr>
            </w:pPr>
          </w:p>
        </w:tc>
        <w:tc>
          <w:tcPr>
            <w:tcW w:w="1709" w:type="dxa"/>
            <w:tcBorders>
              <w:top w:val="single" w:color="auto" w:sz="4" w:space="0"/>
              <w:left w:val="single" w:color="auto" w:sz="4" w:space="0"/>
              <w:bottom w:val="single" w:color="auto" w:sz="4" w:space="0"/>
              <w:right w:val="single" w:color="auto" w:sz="4" w:space="0"/>
            </w:tcBorders>
            <w:vAlign w:val="center"/>
          </w:tcPr>
          <w:p w14:paraId="73033CFD">
            <w:pPr>
              <w:topLinePunct/>
              <w:spacing w:line="360" w:lineRule="auto"/>
              <w:ind w:firstLine="0"/>
              <w:jc w:val="center"/>
              <w:rPr>
                <w:rFonts w:hint="eastAsia" w:ascii="宋体" w:hAnsi="宋体" w:eastAsia="宋体" w:cs="宋体"/>
                <w:color w:val="000000"/>
                <w:szCs w:val="24"/>
                <w:lang w:eastAsia="zh-CN"/>
              </w:rPr>
            </w:pPr>
          </w:p>
        </w:tc>
      </w:tr>
      <w:tr w14:paraId="61E45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4BBEC4D8">
            <w:pPr>
              <w:topLinePunct/>
              <w:spacing w:line="360" w:lineRule="auto"/>
              <w:ind w:firstLine="0"/>
              <w:jc w:val="center"/>
              <w:rPr>
                <w:rFonts w:hint="eastAsia" w:ascii="宋体" w:hAnsi="宋体" w:eastAsia="宋体" w:cs="宋体"/>
                <w:color w:val="000000"/>
                <w:szCs w:val="24"/>
              </w:rPr>
            </w:pPr>
            <w:r>
              <w:rPr>
                <w:rFonts w:hint="eastAsia" w:ascii="宋体" w:hAnsi="宋体" w:eastAsia="宋体" w:cs="宋体"/>
                <w:color w:val="000000"/>
                <w:szCs w:val="24"/>
                <w:lang w:bidi="ar"/>
              </w:rPr>
              <w:t>总价</w:t>
            </w:r>
          </w:p>
        </w:tc>
        <w:tc>
          <w:tcPr>
            <w:tcW w:w="8718" w:type="dxa"/>
            <w:gridSpan w:val="6"/>
            <w:tcBorders>
              <w:top w:val="single" w:color="auto" w:sz="4" w:space="0"/>
              <w:left w:val="single" w:color="auto" w:sz="4" w:space="0"/>
              <w:bottom w:val="single" w:color="auto" w:sz="4" w:space="0"/>
              <w:right w:val="single" w:color="auto" w:sz="4" w:space="0"/>
            </w:tcBorders>
          </w:tcPr>
          <w:p w14:paraId="3EEFB6E0">
            <w:pPr>
              <w:topLinePunct/>
              <w:spacing w:line="360" w:lineRule="auto"/>
              <w:ind w:firstLine="0"/>
              <w:rPr>
                <w:rFonts w:hint="eastAsia" w:ascii="宋体" w:hAnsi="宋体" w:eastAsia="宋体" w:cs="宋体"/>
                <w:b/>
                <w:bCs/>
                <w:color w:val="000000"/>
                <w:szCs w:val="24"/>
                <w:u w:val="single"/>
              </w:rPr>
            </w:pPr>
            <w:r>
              <w:rPr>
                <w:rFonts w:hint="eastAsia" w:ascii="宋体" w:hAnsi="宋体" w:eastAsia="宋体" w:cs="宋体"/>
                <w:color w:val="000000"/>
                <w:szCs w:val="24"/>
                <w:lang w:bidi="ar"/>
              </w:rPr>
              <w:t>（小写）</w:t>
            </w:r>
            <w:r>
              <w:rPr>
                <w:rFonts w:hint="eastAsia" w:ascii="宋体" w:hAnsi="宋体" w:eastAsia="宋体" w:cs="宋体"/>
                <w:color w:val="000000"/>
                <w:szCs w:val="24"/>
                <w:u w:val="single"/>
                <w:lang w:bidi="ar"/>
              </w:rPr>
              <w:t>￥</w:t>
            </w:r>
            <w:r>
              <w:rPr>
                <w:rFonts w:hint="eastAsia" w:ascii="宋体" w:hAnsi="宋体" w:eastAsia="宋体" w:cs="宋体"/>
                <w:color w:val="000000"/>
                <w:szCs w:val="24"/>
                <w:u w:val="single"/>
                <w:lang w:eastAsia="zh-CN" w:bidi="ar"/>
              </w:rPr>
              <w:t>000.00</w:t>
            </w:r>
            <w:r>
              <w:rPr>
                <w:rFonts w:hint="eastAsia" w:ascii="宋体" w:hAnsi="宋体" w:eastAsia="宋体" w:cs="宋体"/>
                <w:color w:val="000000"/>
                <w:szCs w:val="24"/>
                <w:lang w:bidi="ar"/>
              </w:rPr>
              <w:t>元 （大写）</w:t>
            </w:r>
            <w:r>
              <w:rPr>
                <w:rFonts w:hint="eastAsia" w:ascii="宋体" w:hAnsi="宋体" w:eastAsia="宋体" w:cs="宋体"/>
                <w:color w:val="000000"/>
                <w:szCs w:val="24"/>
                <w:u w:val="single"/>
                <w:lang w:eastAsia="zh-CN" w:bidi="ar"/>
              </w:rPr>
              <w:t>￥</w:t>
            </w:r>
            <w:r>
              <w:rPr>
                <w:rFonts w:hint="eastAsia" w:ascii="宋体" w:hAnsi="宋体" w:eastAsia="宋体" w:cs="宋体"/>
                <w:color w:val="000000"/>
                <w:szCs w:val="24"/>
                <w:u w:val="single"/>
                <w:lang w:val="en-US" w:eastAsia="zh-CN" w:bidi="ar"/>
              </w:rPr>
              <w:t xml:space="preserve">  </w:t>
            </w:r>
            <w:r>
              <w:rPr>
                <w:rFonts w:hint="eastAsia" w:ascii="宋体" w:hAnsi="宋体" w:eastAsia="宋体" w:cs="宋体"/>
                <w:color w:val="000000"/>
                <w:szCs w:val="24"/>
                <w:u w:val="single"/>
                <w:lang w:eastAsia="zh-CN" w:bidi="ar"/>
              </w:rPr>
              <w:t xml:space="preserve"> </w:t>
            </w:r>
            <w:r>
              <w:rPr>
                <w:rFonts w:hint="eastAsia" w:ascii="宋体" w:hAnsi="宋体" w:eastAsia="宋体" w:cs="宋体"/>
                <w:color w:val="000000"/>
                <w:szCs w:val="24"/>
                <w:lang w:bidi="ar"/>
              </w:rPr>
              <w:t xml:space="preserve">元 </w:t>
            </w:r>
          </w:p>
        </w:tc>
      </w:tr>
      <w:tr w14:paraId="514E0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99" w:type="dxa"/>
            <w:gridSpan w:val="7"/>
            <w:tcBorders>
              <w:top w:val="single" w:color="auto" w:sz="4" w:space="0"/>
              <w:left w:val="single" w:color="auto" w:sz="4" w:space="0"/>
              <w:bottom w:val="single" w:color="auto" w:sz="4" w:space="0"/>
              <w:right w:val="single" w:color="auto" w:sz="4" w:space="0"/>
            </w:tcBorders>
            <w:vAlign w:val="center"/>
          </w:tcPr>
          <w:p w14:paraId="1E4881C7">
            <w:pPr>
              <w:topLinePunct/>
              <w:spacing w:line="360" w:lineRule="auto"/>
              <w:ind w:firstLine="0"/>
              <w:rPr>
                <w:rFonts w:hint="eastAsia" w:ascii="宋体" w:hAnsi="宋体" w:eastAsia="宋体" w:cs="宋体"/>
                <w:color w:val="000000"/>
                <w:szCs w:val="24"/>
                <w:lang w:eastAsia="zh-CN" w:bidi="ar"/>
              </w:rPr>
            </w:pPr>
            <w:r>
              <w:rPr>
                <w:rFonts w:hint="eastAsia" w:ascii="宋体" w:hAnsi="宋体" w:eastAsia="宋体" w:cs="宋体"/>
                <w:color w:val="000000"/>
                <w:szCs w:val="24"/>
                <w:lang w:eastAsia="zh-CN" w:bidi="ar"/>
              </w:rPr>
              <w:t>备注：</w:t>
            </w:r>
          </w:p>
        </w:tc>
      </w:tr>
    </w:tbl>
    <w:p w14:paraId="5F9E1C90">
      <w:pPr>
        <w:topLinePunct/>
        <w:spacing w:line="360" w:lineRule="auto"/>
        <w:ind w:firstLineChars="200"/>
        <w:rPr>
          <w:rFonts w:hint="eastAsia" w:ascii="宋体" w:hAnsi="宋体" w:eastAsia="宋体" w:cs="宋体"/>
          <w:b/>
          <w:bCs/>
          <w:color w:val="000000"/>
          <w:szCs w:val="24"/>
          <w:lang w:bidi="ar"/>
        </w:rPr>
      </w:pPr>
      <w:r>
        <w:rPr>
          <w:rFonts w:hint="eastAsia" w:ascii="宋体" w:hAnsi="宋体" w:eastAsia="宋体" w:cs="宋体"/>
          <w:b/>
          <w:bCs/>
          <w:color w:val="000000"/>
          <w:szCs w:val="24"/>
          <w:lang w:bidi="ar"/>
        </w:rPr>
        <w:t>说明：</w:t>
      </w:r>
    </w:p>
    <w:p w14:paraId="411DED4E">
      <w:pPr>
        <w:topLinePunct/>
        <w:spacing w:line="360" w:lineRule="auto"/>
        <w:ind w:firstLineChars="200"/>
        <w:rPr>
          <w:rFonts w:hint="eastAsia" w:ascii="宋体" w:hAnsi="宋体" w:eastAsia="宋体" w:cs="宋体"/>
          <w:color w:val="000000"/>
          <w:szCs w:val="24"/>
          <w:lang w:bidi="ar"/>
        </w:rPr>
      </w:pPr>
      <w:r>
        <w:rPr>
          <w:rFonts w:hint="eastAsia" w:ascii="宋体" w:hAnsi="宋体" w:eastAsia="宋体" w:cs="宋体"/>
          <w:color w:val="000000"/>
          <w:szCs w:val="24"/>
          <w:lang w:bidi="ar"/>
        </w:rPr>
        <w:t>1、本合同价格为最终结算价格，包括</w:t>
      </w:r>
      <w:r>
        <w:rPr>
          <w:rFonts w:hint="eastAsia" w:ascii="宋体" w:hAnsi="宋体" w:eastAsia="宋体" w:cs="宋体"/>
          <w:color w:val="000000"/>
          <w:szCs w:val="24"/>
          <w:lang w:val="en-US" w:eastAsia="zh-CN" w:bidi="ar"/>
        </w:rPr>
        <w:t>运杂费、</w:t>
      </w:r>
      <w:r>
        <w:rPr>
          <w:rFonts w:hint="eastAsia" w:ascii="宋体" w:hAnsi="宋体" w:eastAsia="宋体" w:cs="宋体"/>
          <w:color w:val="000000"/>
          <w:szCs w:val="24"/>
          <w:lang w:bidi="ar"/>
        </w:rPr>
        <w:t>增值税等所有税费及其它一切费用。</w:t>
      </w:r>
    </w:p>
    <w:p w14:paraId="3E6A06F5">
      <w:pPr>
        <w:topLinePunct/>
        <w:spacing w:line="360" w:lineRule="auto"/>
        <w:ind w:firstLine="420" w:firstLineChars="200"/>
        <w:rPr>
          <w:rFonts w:hint="eastAsia" w:ascii="宋体" w:hAnsi="宋体" w:eastAsia="宋体" w:cs="宋体"/>
          <w:color w:val="000000"/>
          <w:szCs w:val="24"/>
          <w:lang w:bidi="ar"/>
        </w:rPr>
      </w:pPr>
      <w:r>
        <w:rPr>
          <w:rFonts w:hint="eastAsia" w:ascii="宋体" w:hAnsi="宋体" w:eastAsia="宋体" w:cs="宋体"/>
          <w:color w:val="000000"/>
          <w:szCs w:val="24"/>
          <w:lang w:bidi="ar"/>
        </w:rPr>
        <w:t>2、本合同为一次性</w:t>
      </w:r>
      <w:r>
        <w:rPr>
          <w:rFonts w:hint="eastAsia" w:ascii="宋体" w:hAnsi="宋体" w:eastAsia="宋体" w:cs="宋体"/>
          <w:color w:val="000000"/>
          <w:szCs w:val="24"/>
          <w:lang w:val="en-US" w:eastAsia="zh-CN" w:bidi="ar"/>
        </w:rPr>
        <w:t>报价</w:t>
      </w:r>
      <w:r>
        <w:rPr>
          <w:rFonts w:hint="eastAsia" w:ascii="宋体" w:hAnsi="宋体" w:eastAsia="宋体" w:cs="宋体"/>
          <w:color w:val="000000"/>
          <w:szCs w:val="24"/>
          <w:lang w:bidi="ar"/>
        </w:rPr>
        <w:t>，</w:t>
      </w:r>
      <w:r>
        <w:rPr>
          <w:rFonts w:hint="eastAsia" w:ascii="宋体" w:hAnsi="宋体" w:eastAsia="宋体" w:cs="宋体"/>
          <w:color w:val="000000"/>
          <w:szCs w:val="24"/>
          <w:lang w:val="en-US" w:eastAsia="zh-CN" w:bidi="ar"/>
        </w:rPr>
        <w:t>原则上</w:t>
      </w:r>
      <w:r>
        <w:rPr>
          <w:rFonts w:hint="eastAsia" w:ascii="宋体" w:hAnsi="宋体" w:eastAsia="宋体" w:cs="宋体"/>
          <w:color w:val="000000"/>
          <w:szCs w:val="24"/>
          <w:lang w:bidi="ar"/>
        </w:rPr>
        <w:t>不受市场价格变化因素的影响。</w:t>
      </w:r>
      <w:r>
        <w:rPr>
          <w:rFonts w:hint="eastAsia" w:ascii="宋体" w:hAnsi="宋体" w:eastAsia="宋体" w:cs="宋体"/>
          <w:color w:val="000000"/>
          <w:szCs w:val="24"/>
          <w:lang w:val="en-US" w:eastAsia="zh-CN" w:bidi="ar"/>
        </w:rPr>
        <w:t>产品价格如遇国家政策性、季节性调整或突发公共卫生事件等因素影响，乙方应及时通知甲方，甲乙双方协商解决。</w:t>
      </w:r>
    </w:p>
    <w:p w14:paraId="55526B02">
      <w:pPr>
        <w:topLinePunct/>
        <w:spacing w:line="360" w:lineRule="auto"/>
        <w:ind w:firstLine="420" w:firstLineChars="200"/>
        <w:rPr>
          <w:rFonts w:hint="default"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3、合同执行过程中，如遇中药饮片联盟集采执行，涉及品种应按国家及省市相关政策执行。</w:t>
      </w:r>
    </w:p>
    <w:p w14:paraId="3F8FBB4E">
      <w:pPr>
        <w:topLinePunct/>
        <w:spacing w:line="360" w:lineRule="auto"/>
        <w:ind w:firstLine="420" w:firstLineChars="200"/>
        <w:rPr>
          <w:rFonts w:hint="eastAsia" w:ascii="宋体" w:hAnsi="宋体" w:eastAsia="宋体" w:cs="宋体"/>
          <w:color w:val="000000"/>
          <w:szCs w:val="24"/>
          <w:lang w:bidi="ar"/>
        </w:rPr>
      </w:pPr>
      <w:r>
        <w:rPr>
          <w:rFonts w:hint="eastAsia" w:ascii="宋体" w:hAnsi="宋体" w:eastAsia="宋体" w:cs="宋体"/>
          <w:color w:val="000000"/>
          <w:szCs w:val="24"/>
          <w:lang w:val="en-US" w:eastAsia="zh-CN" w:bidi="ar"/>
        </w:rPr>
        <w:t>4、</w:t>
      </w:r>
      <w:r>
        <w:rPr>
          <w:rFonts w:hint="eastAsia" w:ascii="宋体" w:hAnsi="宋体" w:eastAsia="宋体" w:cs="宋体"/>
          <w:color w:val="000000"/>
          <w:szCs w:val="24"/>
          <w:lang w:bidi="ar"/>
        </w:rPr>
        <w:t>根据每批次配送数量及成交单价据实结算。</w:t>
      </w:r>
    </w:p>
    <w:p w14:paraId="7DC395AB">
      <w:pPr>
        <w:topLinePunct/>
        <w:spacing w:line="360" w:lineRule="auto"/>
        <w:ind w:firstLineChars="200"/>
        <w:rPr>
          <w:rFonts w:hint="eastAsia" w:ascii="宋体" w:hAnsi="宋体" w:eastAsia="宋体" w:cs="宋体"/>
          <w:b/>
          <w:bCs/>
          <w:color w:val="000000"/>
          <w:szCs w:val="24"/>
          <w:lang w:val="en-US" w:eastAsia="zh-CN" w:bidi="ar"/>
        </w:rPr>
      </w:pPr>
      <w:r>
        <w:rPr>
          <w:rFonts w:hint="eastAsia" w:ascii="宋体" w:hAnsi="宋体" w:eastAsia="宋体" w:cs="宋体"/>
          <w:b/>
          <w:bCs/>
          <w:color w:val="000000"/>
          <w:szCs w:val="24"/>
          <w:lang w:bidi="ar"/>
        </w:rPr>
        <w:t>二、交货期限</w:t>
      </w:r>
      <w:r>
        <w:rPr>
          <w:rFonts w:hint="eastAsia" w:ascii="宋体" w:hAnsi="宋体" w:eastAsia="宋体" w:cs="宋体"/>
          <w:b/>
          <w:bCs/>
          <w:color w:val="000000"/>
          <w:szCs w:val="24"/>
          <w:lang w:eastAsia="zh-CN" w:bidi="ar"/>
        </w:rPr>
        <w:t>、</w:t>
      </w:r>
      <w:r>
        <w:rPr>
          <w:rFonts w:hint="eastAsia" w:ascii="宋体" w:hAnsi="宋体" w:eastAsia="宋体" w:cs="宋体"/>
          <w:b/>
          <w:bCs/>
          <w:color w:val="000000"/>
          <w:szCs w:val="24"/>
          <w:lang w:bidi="ar"/>
        </w:rPr>
        <w:t>地点</w:t>
      </w:r>
      <w:r>
        <w:rPr>
          <w:rFonts w:hint="eastAsia" w:ascii="宋体" w:hAnsi="宋体" w:eastAsia="宋体" w:cs="宋体"/>
          <w:b/>
          <w:bCs/>
          <w:color w:val="000000"/>
          <w:szCs w:val="24"/>
          <w:lang w:val="en-US" w:eastAsia="zh-CN" w:bidi="ar"/>
        </w:rPr>
        <w:t>和时间</w:t>
      </w:r>
    </w:p>
    <w:p w14:paraId="06ED8CCB">
      <w:pPr>
        <w:topLinePunct/>
        <w:spacing w:line="360" w:lineRule="auto"/>
        <w:ind w:firstLine="420" w:firstLineChars="200"/>
        <w:rPr>
          <w:rFonts w:hint="eastAsia" w:ascii="宋体" w:hAnsi="宋体" w:eastAsia="宋体" w:cs="宋体"/>
          <w:color w:val="000000"/>
          <w:szCs w:val="24"/>
          <w:u w:val="single"/>
          <w:lang w:eastAsia="zh-CN" w:bidi="ar"/>
        </w:rPr>
      </w:pPr>
      <w:r>
        <w:rPr>
          <w:rFonts w:hint="eastAsia" w:ascii="宋体" w:hAnsi="宋体" w:eastAsia="宋体" w:cs="宋体"/>
          <w:color w:val="000000"/>
          <w:szCs w:val="24"/>
          <w:lang w:bidi="ar"/>
        </w:rPr>
        <w:t>（一）交货期：</w:t>
      </w:r>
      <w:r>
        <w:rPr>
          <w:rFonts w:hint="eastAsia" w:ascii="宋体" w:hAnsi="宋体" w:eastAsia="宋体" w:cs="宋体"/>
          <w:color w:val="000000"/>
          <w:szCs w:val="24"/>
          <w:u w:val="single"/>
          <w:lang w:eastAsia="zh-CN" w:bidi="ar"/>
        </w:rPr>
        <w:t>合同签订后</w:t>
      </w:r>
      <w:r>
        <w:rPr>
          <w:rFonts w:hint="eastAsia" w:ascii="宋体" w:hAnsi="宋体" w:eastAsia="宋体" w:cs="宋体"/>
          <w:color w:val="000000"/>
          <w:szCs w:val="24"/>
          <w:u w:val="single"/>
          <w:lang w:val="en-US" w:eastAsia="zh-CN" w:bidi="ar"/>
        </w:rPr>
        <w:t>12</w:t>
      </w:r>
      <w:r>
        <w:rPr>
          <w:rFonts w:hint="eastAsia" w:ascii="宋体" w:hAnsi="宋体" w:eastAsia="宋体" w:cs="宋体"/>
          <w:color w:val="000000"/>
          <w:szCs w:val="24"/>
          <w:u w:val="single"/>
          <w:lang w:eastAsia="zh-CN" w:bidi="ar"/>
        </w:rPr>
        <w:t>个月(在此期间乙方在接到甲方的采购计划后须24小时内完成服务)</w:t>
      </w:r>
    </w:p>
    <w:p w14:paraId="6B6BF1EB">
      <w:pPr>
        <w:topLinePunct/>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lang w:bidi="ar"/>
        </w:rPr>
        <w:t>（二）交货地点：乙方负责运输至甲方指定地点交货。</w:t>
      </w:r>
    </w:p>
    <w:p w14:paraId="6DBA30DB">
      <w:pPr>
        <w:topLinePunct/>
        <w:spacing w:line="360" w:lineRule="auto"/>
        <w:ind w:firstLineChars="200"/>
        <w:rPr>
          <w:rFonts w:hint="eastAsia" w:ascii="宋体" w:hAnsi="宋体" w:eastAsia="宋体" w:cs="宋体"/>
          <w:snapToGrid w:val="0"/>
          <w:color w:val="000000"/>
          <w:kern w:val="0"/>
          <w:sz w:val="21"/>
          <w:szCs w:val="21"/>
          <w:lang w:bidi="ar"/>
        </w:rPr>
      </w:pPr>
      <w:r>
        <w:rPr>
          <w:rFonts w:hint="eastAsia" w:ascii="宋体" w:hAnsi="宋体" w:eastAsia="宋体" w:cs="宋体"/>
          <w:b/>
          <w:bCs/>
          <w:color w:val="000000"/>
          <w:sz w:val="21"/>
          <w:szCs w:val="21"/>
          <w:lang w:bidi="ar"/>
        </w:rPr>
        <w:t>三、验收标准和方法</w:t>
      </w:r>
    </w:p>
    <w:p w14:paraId="0784851C">
      <w:pPr>
        <w:pStyle w:val="2"/>
        <w:spacing w:line="360" w:lineRule="auto"/>
        <w:ind w:left="0" w:leftChars="0" w:firstLine="420" w:firstLineChars="200"/>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eastAsia="zh-CN" w:bidi="ar"/>
        </w:rPr>
        <w:t>（</w:t>
      </w:r>
      <w:r>
        <w:rPr>
          <w:rFonts w:hint="eastAsia" w:ascii="宋体" w:hAnsi="宋体" w:eastAsia="宋体" w:cs="宋体"/>
          <w:snapToGrid w:val="0"/>
          <w:color w:val="000000"/>
          <w:kern w:val="0"/>
          <w:sz w:val="21"/>
          <w:szCs w:val="21"/>
          <w:lang w:val="en-US" w:eastAsia="zh-CN" w:bidi="ar"/>
        </w:rPr>
        <w:t>一</w:t>
      </w:r>
      <w:r>
        <w:rPr>
          <w:rFonts w:hint="eastAsia" w:ascii="宋体" w:hAnsi="宋体" w:eastAsia="宋体" w:cs="宋体"/>
          <w:snapToGrid w:val="0"/>
          <w:color w:val="000000"/>
          <w:kern w:val="0"/>
          <w:sz w:val="21"/>
          <w:szCs w:val="21"/>
          <w:lang w:eastAsia="zh-CN" w:bidi="ar"/>
        </w:rPr>
        <w:t>）</w:t>
      </w:r>
      <w:r>
        <w:rPr>
          <w:rFonts w:hint="eastAsia" w:ascii="宋体" w:hAnsi="宋体" w:eastAsia="宋体" w:cs="宋体"/>
          <w:snapToGrid w:val="0"/>
          <w:color w:val="000000"/>
          <w:kern w:val="0"/>
          <w:sz w:val="21"/>
          <w:szCs w:val="21"/>
          <w:lang w:val="en-US" w:eastAsia="zh-CN" w:bidi="ar"/>
        </w:rPr>
        <w:t>验收标准</w:t>
      </w:r>
    </w:p>
    <w:tbl>
      <w:tblPr>
        <w:tblStyle w:val="5"/>
        <w:tblW w:w="8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275"/>
        <w:gridCol w:w="6989"/>
      </w:tblGrid>
      <w:tr w14:paraId="08BAF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26" w:type="dxa"/>
            <w:gridSpan w:val="3"/>
            <w:noWrap w:val="0"/>
            <w:vAlign w:val="center"/>
          </w:tcPr>
          <w:p w14:paraId="0690543F">
            <w:pPr>
              <w:jc w:val="center"/>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中药饮片质量及商务</w:t>
            </w:r>
            <w:r>
              <w:rPr>
                <w:rFonts w:hint="eastAsia" w:ascii="宋体" w:hAnsi="宋体" w:eastAsia="宋体" w:cs="宋体"/>
                <w:snapToGrid w:val="0"/>
                <w:color w:val="000000"/>
                <w:kern w:val="0"/>
                <w:sz w:val="21"/>
                <w:szCs w:val="21"/>
                <w:lang w:bidi="ar"/>
              </w:rPr>
              <w:t>要求</w:t>
            </w:r>
          </w:p>
        </w:tc>
      </w:tr>
      <w:tr w14:paraId="0F032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562" w:type="dxa"/>
            <w:vMerge w:val="restart"/>
            <w:noWrap w:val="0"/>
            <w:vAlign w:val="center"/>
          </w:tcPr>
          <w:p w14:paraId="71C6CF3B">
            <w:pPr>
              <w:jc w:val="center"/>
              <w:rPr>
                <w:rFonts w:hint="eastAsia" w:ascii="宋体" w:hAnsi="宋体" w:eastAsia="宋体" w:cs="宋体"/>
                <w:snapToGrid w:val="0"/>
                <w:color w:val="000000"/>
                <w:kern w:val="0"/>
                <w:sz w:val="21"/>
                <w:szCs w:val="21"/>
                <w:lang w:bidi="ar"/>
              </w:rPr>
            </w:pPr>
            <w:r>
              <w:rPr>
                <w:rFonts w:hint="eastAsia" w:ascii="宋体" w:hAnsi="宋体" w:eastAsia="宋体" w:cs="宋体"/>
                <w:snapToGrid w:val="0"/>
                <w:color w:val="000000"/>
                <w:kern w:val="0"/>
                <w:sz w:val="21"/>
                <w:szCs w:val="21"/>
                <w:lang w:bidi="ar"/>
              </w:rPr>
              <w:t>1</w:t>
            </w:r>
          </w:p>
        </w:tc>
        <w:tc>
          <w:tcPr>
            <w:tcW w:w="1275" w:type="dxa"/>
            <w:vMerge w:val="restart"/>
            <w:noWrap w:val="0"/>
            <w:vAlign w:val="center"/>
          </w:tcPr>
          <w:p w14:paraId="62F03D2B">
            <w:pPr>
              <w:jc w:val="center"/>
              <w:rPr>
                <w:rFonts w:hint="eastAsia" w:ascii="宋体" w:hAnsi="宋体" w:eastAsia="宋体" w:cs="宋体"/>
                <w:snapToGrid w:val="0"/>
                <w:color w:val="000000"/>
                <w:kern w:val="0"/>
                <w:sz w:val="21"/>
                <w:szCs w:val="21"/>
                <w:lang w:bidi="ar"/>
              </w:rPr>
            </w:pPr>
            <w:r>
              <w:rPr>
                <w:rFonts w:hint="eastAsia" w:ascii="宋体" w:hAnsi="宋体" w:eastAsia="宋体" w:cs="宋体"/>
                <w:snapToGrid w:val="0"/>
                <w:color w:val="000000"/>
                <w:kern w:val="0"/>
                <w:sz w:val="21"/>
                <w:szCs w:val="21"/>
                <w:lang w:bidi="ar"/>
              </w:rPr>
              <w:t>质量要求</w:t>
            </w:r>
          </w:p>
        </w:tc>
        <w:tc>
          <w:tcPr>
            <w:tcW w:w="6989" w:type="dxa"/>
            <w:noWrap w:val="0"/>
            <w:vAlign w:val="top"/>
          </w:tcPr>
          <w:p w14:paraId="527F0E9E">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1. 所有药品均需符合《中国药典》（2020年版）饮片质量要求或各省中药材标准和炮制规范的要求，且不能低于招标方现用中药材质量。所有饮片水分不得过13 %，药屑及杂质通常不得过3%，药材及饮片（矿物类除外）的二氧化硫残留量不得过150 mg/kg，饮片中农药含量不得超过药典中规定。</w:t>
            </w:r>
          </w:p>
        </w:tc>
      </w:tr>
      <w:tr w14:paraId="75C29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59583289">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2B276CAC">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61F4C82E">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2. 当归符合一等品要求：表面棕黄色或黄褐色。断面黄白色或淡黄色，具油性。气芳香，味甘微苦。无杂质、虫蛀、霉变。</w:t>
            </w:r>
          </w:p>
        </w:tc>
      </w:tr>
      <w:tr w14:paraId="54EE0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5F1AA376">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5106B616">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4614327A">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3. 川芎符合一等品要求：表面黄褐色。断面灰白色或黄白色。有特异香气，味苦辛、麻舌、焦枯、杂质、虫蛀、霉变。</w:t>
            </w:r>
          </w:p>
        </w:tc>
      </w:tr>
      <w:tr w14:paraId="70045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721822CA">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12B50B8B">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3E6AD4AB">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4. 生地符合一等品要求：呈厚片形，体重质柔润。表面灰白色或灰褐色。断面黑褐色或黄褐色，具有油性。味微甜。</w:t>
            </w:r>
          </w:p>
        </w:tc>
      </w:tr>
      <w:tr w14:paraId="482E1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66FE8778">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22C95537">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34BE1C77">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5.白芍符合一等品要求：呈片状，表面类白色或淡红色。质坚实体重。断面类白色或白色。味微苦酸。</w:t>
            </w:r>
          </w:p>
        </w:tc>
      </w:tr>
      <w:tr w14:paraId="40916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0611BBA1">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0626E902">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3085F89F">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6.茯苓符合一等品要求：呈块状。表面白色或白褐色。体坚实、皮细。断面白色。味淡。无杂质、霉变。</w:t>
            </w:r>
          </w:p>
        </w:tc>
      </w:tr>
      <w:tr w14:paraId="5F91D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2EC46168">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3EFFC2FA">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158BBD61">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7.党参符合一等品要求：呈厚片状，断面黄白色，有放射状纹理。糖质多、味甜。</w:t>
            </w:r>
          </w:p>
        </w:tc>
      </w:tr>
      <w:tr w14:paraId="76B2B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3DC2C014">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4E58BB7A">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265EF36E">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8. 黄芪符合特等品要求：呈厚圆片状。质硬而韧。断面外层白色，中间淡黄色或黄色，有粉性。味甘、有生豆气。</w:t>
            </w:r>
          </w:p>
        </w:tc>
      </w:tr>
      <w:tr w14:paraId="0796F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29455A28">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5E17DDFB">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3F5E0A55">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9. 山药符合一等品要求：一等∶干货。呈圆厚片形，条均挺直，光滑圆润，两头平齐。内外均匀为白色。质坚实，粉性足。味淡。</w:t>
            </w:r>
          </w:p>
        </w:tc>
      </w:tr>
      <w:tr w14:paraId="6DCB8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0775A33D">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5C33CA51">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5AF1E219">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10.杜仲符合特等品要求：干货。呈平板状，两端切齐，去净粗皮。表面呈灰褐色，里面黑褐色、质脆。断处有胶丝相连。味微苦。</w:t>
            </w:r>
          </w:p>
        </w:tc>
      </w:tr>
      <w:tr w14:paraId="36629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vMerge w:val="continue"/>
            <w:noWrap w:val="0"/>
            <w:vAlign w:val="bottom"/>
          </w:tcPr>
          <w:p w14:paraId="7D031F12">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6A6F60FE">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70D1AC5D">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11. 半夏符合一等品要求：干货。呈圆球形，半圆球形或扁斜不等，去净外皮。表面白色或浅黄白色，上端圆平，中心凹陷（茎痕），周围有棕色点状根痕，下面钝圆，较平滑，质坚实，断面洁白或白色，粉质细腻，气微，味辛、麻舌而刺喉。</w:t>
            </w:r>
          </w:p>
        </w:tc>
      </w:tr>
      <w:tr w14:paraId="40D81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noWrap w:val="0"/>
            <w:vAlign w:val="bottom"/>
          </w:tcPr>
          <w:p w14:paraId="1E6D8C74">
            <w:pPr>
              <w:jc w:val="center"/>
              <w:rPr>
                <w:rFonts w:hint="eastAsia" w:ascii="宋体" w:hAnsi="宋体" w:eastAsia="宋体" w:cs="宋体"/>
                <w:snapToGrid w:val="0"/>
                <w:color w:val="000000"/>
                <w:kern w:val="0"/>
                <w:sz w:val="21"/>
                <w:szCs w:val="21"/>
                <w:lang w:bidi="ar"/>
              </w:rPr>
            </w:pPr>
          </w:p>
        </w:tc>
        <w:tc>
          <w:tcPr>
            <w:tcW w:w="1275" w:type="dxa"/>
            <w:vMerge w:val="continue"/>
            <w:noWrap w:val="0"/>
            <w:vAlign w:val="bottom"/>
          </w:tcPr>
          <w:p w14:paraId="08737A3F">
            <w:pPr>
              <w:jc w:val="center"/>
              <w:rPr>
                <w:rFonts w:hint="eastAsia" w:ascii="宋体" w:hAnsi="宋体" w:eastAsia="宋体" w:cs="宋体"/>
                <w:snapToGrid w:val="0"/>
                <w:color w:val="000000"/>
                <w:kern w:val="0"/>
                <w:sz w:val="21"/>
                <w:szCs w:val="21"/>
                <w:lang w:bidi="ar"/>
              </w:rPr>
            </w:pPr>
          </w:p>
        </w:tc>
        <w:tc>
          <w:tcPr>
            <w:tcW w:w="6989" w:type="dxa"/>
            <w:noWrap w:val="0"/>
            <w:vAlign w:val="top"/>
          </w:tcPr>
          <w:p w14:paraId="08069958">
            <w:pPr>
              <w:pStyle w:val="8"/>
              <w:rPr>
                <w:rFonts w:hint="eastAsia" w:ascii="宋体" w:hAnsi="宋体" w:eastAsia="宋体" w:cs="宋体"/>
                <w:snapToGrid w:val="0"/>
                <w:color w:val="000000"/>
                <w:kern w:val="0"/>
                <w:sz w:val="21"/>
                <w:szCs w:val="21"/>
                <w:lang w:val="en-US" w:eastAsia="zh-CN" w:bidi="ar"/>
              </w:rPr>
            </w:pPr>
            <w:r>
              <w:rPr>
                <w:rFonts w:hint="eastAsia" w:ascii="宋体" w:hAnsi="宋体" w:eastAsia="宋体" w:cs="宋体"/>
                <w:snapToGrid w:val="0"/>
                <w:color w:val="000000"/>
                <w:kern w:val="0"/>
                <w:sz w:val="21"/>
                <w:szCs w:val="21"/>
                <w:lang w:val="en-US" w:eastAsia="zh-CN" w:bidi="ar"/>
              </w:rPr>
              <w:t>12. 陈皮符合一等品要求：干货。呈不规格条状，表面橙红色、红黄色或红褐色，有无数凹入的油点（膳眼）。内面白黄色。质稍硬而脆。易折断。气香、味辛苦。</w:t>
            </w:r>
          </w:p>
        </w:tc>
      </w:tr>
    </w:tbl>
    <w:p w14:paraId="7CB35461">
      <w:pPr>
        <w:widowControl/>
        <w:numPr>
          <w:ilvl w:val="0"/>
          <w:numId w:val="1"/>
        </w:numPr>
        <w:kinsoku w:val="0"/>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验收方法</w:t>
      </w:r>
    </w:p>
    <w:p w14:paraId="368F8255">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配送中药饮片应有包装，并有质量合格的标志，每批中药饮片均需提供《质量检验报告单》；每件包装上，中药材应标明品名、产地、日期、调出单位；中药饮片外包装应印有或贴有标签，标明品名、规格、产地、生产企业、生产批号、生产日期等。实施文号管理的中药饮片，在包装上还应标明批准文号。</w:t>
      </w:r>
    </w:p>
    <w:p w14:paraId="580D4334">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2、每批货物必须与规范的随货同行单、发票同时送达，配送及运费由投标单位负责，并搬运入库。</w:t>
      </w:r>
    </w:p>
    <w:p w14:paraId="069976B1">
      <w:pPr>
        <w:widowControl/>
        <w:kinsoku w:val="0"/>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3、配送企业应具有完善的销售供应和售后服务保障体系。产品包装破损或质量有问题配送企业无条件更换。</w:t>
      </w:r>
    </w:p>
    <w:p w14:paraId="719B4669">
      <w:pPr>
        <w:topLinePunct/>
        <w:spacing w:line="360" w:lineRule="auto"/>
        <w:ind w:firstLineChars="200"/>
        <w:rPr>
          <w:rFonts w:hint="eastAsia" w:ascii="宋体" w:hAnsi="宋体" w:eastAsia="宋体" w:cs="宋体"/>
          <w:b/>
          <w:bCs/>
          <w:color w:val="000000"/>
          <w:szCs w:val="24"/>
          <w:lang w:eastAsia="zh-CN"/>
        </w:rPr>
      </w:pPr>
      <w:r>
        <w:rPr>
          <w:rFonts w:hint="eastAsia" w:ascii="宋体" w:hAnsi="宋体" w:eastAsia="宋体" w:cs="宋体"/>
          <w:b/>
          <w:bCs/>
          <w:color w:val="000000"/>
          <w:szCs w:val="24"/>
          <w:lang w:bidi="ar"/>
        </w:rPr>
        <w:t>四、售后服务及</w:t>
      </w:r>
      <w:r>
        <w:rPr>
          <w:rFonts w:hint="eastAsia" w:ascii="宋体" w:hAnsi="宋体" w:eastAsia="宋体" w:cs="宋体"/>
          <w:b/>
          <w:bCs/>
          <w:color w:val="000000"/>
          <w:szCs w:val="24"/>
          <w:lang w:val="en-US" w:eastAsia="zh-CN" w:bidi="ar"/>
        </w:rPr>
        <w:t>质保</w:t>
      </w:r>
    </w:p>
    <w:p w14:paraId="06215009">
      <w:p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（一）配送企业须指派专人负责与甲方联系售后服务事宜；</w:t>
      </w:r>
    </w:p>
    <w:p w14:paraId="1F0DD36B">
      <w:p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（二）所有中药饮片服务方式均为配送企业上门服务，即由配送企业指派专人到中药饮片使用现场服务，由此产生的一切费用均由配送企业承担；</w:t>
      </w:r>
    </w:p>
    <w:p w14:paraId="4927F8C8">
      <w:p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（三）中药饮片的送货频次需遵循医院的用药要求，现场交付。交付时需按照医院指定的时间、地点交货；</w:t>
      </w:r>
    </w:p>
    <w:p w14:paraId="4781D7B8">
      <w:p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（四）配送企业在接到医院采购计划后须24小时内完成服务；</w:t>
      </w:r>
    </w:p>
    <w:p w14:paraId="3D1BF8D1">
      <w:p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（五）每批中药饮片必须与规范的随货同行单同时送达，当场根据票据点货与验收，并负责搬运入库；</w:t>
      </w:r>
    </w:p>
    <w:p w14:paraId="20DEA50F">
      <w:p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（六）有药品余量不足需在两天内按药房实际需求补足；</w:t>
      </w:r>
    </w:p>
    <w:p w14:paraId="5CBBEBFD">
      <w:p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（七）药品有效期内，所送饮片出现质量、近效期或滞销问题，需无条件退回；</w:t>
      </w:r>
    </w:p>
    <w:p w14:paraId="46598B9D">
      <w:p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（八）中药饮片因质量问题或售后服务不当引起的医疗事故、医疗纠纷，由配送企业承担事故处理及责任赔偿等相应的责任；</w:t>
      </w:r>
    </w:p>
    <w:p w14:paraId="163D0292">
      <w:p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（九）其余未约定服务由双方协商确定。</w:t>
      </w:r>
    </w:p>
    <w:p w14:paraId="7ED33519">
      <w:pPr>
        <w:topLinePunct/>
        <w:spacing w:line="360" w:lineRule="auto"/>
        <w:ind w:firstLineChars="200"/>
        <w:rPr>
          <w:rFonts w:hint="eastAsia" w:ascii="宋体" w:hAnsi="宋体" w:eastAsia="宋体" w:cs="宋体"/>
          <w:b/>
          <w:bCs/>
          <w:szCs w:val="24"/>
        </w:rPr>
      </w:pPr>
      <w:r>
        <w:rPr>
          <w:rFonts w:hint="eastAsia" w:ascii="宋体" w:hAnsi="宋体" w:eastAsia="宋体" w:cs="宋体"/>
          <w:b/>
          <w:bCs/>
          <w:szCs w:val="24"/>
          <w:lang w:val="en-US" w:eastAsia="zh-CN" w:bidi="ar"/>
        </w:rPr>
        <w:t>五</w:t>
      </w:r>
      <w:r>
        <w:rPr>
          <w:rFonts w:hint="eastAsia" w:ascii="宋体" w:hAnsi="宋体" w:eastAsia="宋体" w:cs="宋体"/>
          <w:b/>
          <w:bCs/>
          <w:szCs w:val="24"/>
          <w:lang w:bidi="ar"/>
        </w:rPr>
        <w:t>、付款方式和条件</w:t>
      </w:r>
    </w:p>
    <w:p w14:paraId="0BF17CCE">
      <w:pPr>
        <w:topLinePunct/>
        <w:spacing w:line="360" w:lineRule="auto"/>
        <w:ind w:firstLine="420" w:firstLineChars="200"/>
        <w:rPr>
          <w:rFonts w:hint="eastAsia" w:ascii="宋体" w:hAnsi="宋体" w:eastAsia="宋体" w:cs="宋体"/>
          <w:color w:val="000000"/>
          <w:szCs w:val="24"/>
          <w:shd w:val="clear" w:color="auto" w:fill="auto"/>
          <w:lang w:bidi="ar"/>
        </w:rPr>
      </w:pPr>
      <w:r>
        <w:rPr>
          <w:rFonts w:hint="eastAsia" w:ascii="宋体" w:hAnsi="宋体" w:eastAsia="宋体" w:cs="宋体"/>
          <w:color w:val="000000"/>
          <w:szCs w:val="24"/>
          <w:shd w:val="clear" w:color="auto" w:fill="auto"/>
          <w:lang w:bidi="ar"/>
        </w:rPr>
        <w:t>（一）合同签订货到验收合格6个月后，以成交单价为依据，乙方按照每批次实际配送数量开具普通增值税发票，甲方据实结算。</w:t>
      </w:r>
    </w:p>
    <w:p w14:paraId="2081578A">
      <w:pPr>
        <w:topLinePunct/>
        <w:spacing w:line="360" w:lineRule="auto"/>
        <w:ind w:firstLine="420" w:firstLineChars="200"/>
        <w:rPr>
          <w:rFonts w:hint="eastAsia" w:ascii="宋体" w:hAnsi="宋体" w:eastAsia="宋体" w:cs="宋体"/>
          <w:color w:val="000000"/>
          <w:szCs w:val="24"/>
          <w:lang w:bidi="ar"/>
        </w:rPr>
      </w:pPr>
      <w:r>
        <w:rPr>
          <w:rFonts w:hint="eastAsia" w:ascii="宋体" w:hAnsi="宋体" w:eastAsia="宋体" w:cs="宋体"/>
          <w:color w:val="000000"/>
          <w:szCs w:val="24"/>
          <w:lang w:bidi="ar"/>
        </w:rPr>
        <w:t>（二）支付方式通过银行转账方式将款项转入乙方银行账户。乙方银行账户信息如下:</w:t>
      </w:r>
    </w:p>
    <w:p w14:paraId="1F7D8692">
      <w:pPr>
        <w:pStyle w:val="4"/>
        <w:autoSpaceDE w:val="0"/>
        <w:adjustRightInd w:val="0"/>
        <w:spacing w:after="0" w:line="360" w:lineRule="auto"/>
        <w:ind w:left="0" w:leftChars="0" w:firstLine="480" w:firstLineChars="200"/>
        <w:jc w:val="both"/>
        <w:rPr>
          <w:rFonts w:hint="eastAsia" w:ascii="宋体" w:hAnsi="宋体" w:eastAsia="宋体" w:cs="宋体"/>
          <w:color w:val="000000"/>
          <w:sz w:val="24"/>
          <w:szCs w:val="24"/>
          <w:lang w:bidi="ar"/>
        </w:rPr>
      </w:pPr>
      <w:r>
        <w:rPr>
          <w:rFonts w:hint="eastAsia" w:ascii="宋体" w:hAnsi="宋体" w:eastAsia="宋体" w:cs="宋体"/>
          <w:sz w:val="24"/>
          <w:szCs w:val="24"/>
          <w:lang w:eastAsia="zh-CN"/>
        </w:rPr>
        <w:t>账</w:t>
      </w:r>
      <w:r>
        <w:rPr>
          <w:rFonts w:hint="eastAsia" w:ascii="宋体" w:hAnsi="宋体" w:eastAsia="宋体" w:cs="宋体"/>
          <w:sz w:val="24"/>
          <w:szCs w:val="24"/>
        </w:rPr>
        <w:t xml:space="preserve">户全称: </w:t>
      </w:r>
    </w:p>
    <w:p w14:paraId="79DE5532">
      <w:pPr>
        <w:pStyle w:val="4"/>
        <w:autoSpaceDE w:val="0"/>
        <w:adjustRightInd w:val="0"/>
        <w:spacing w:after="0" w:line="360" w:lineRule="auto"/>
        <w:ind w:left="0" w:leftChars="0" w:firstLine="480" w:firstLineChars="200"/>
        <w:jc w:val="both"/>
        <w:rPr>
          <w:rFonts w:hint="eastAsia" w:ascii="宋体" w:hAnsi="宋体" w:eastAsia="宋体" w:cs="宋体"/>
          <w:color w:val="000000"/>
          <w:sz w:val="24"/>
          <w:szCs w:val="24"/>
          <w:lang w:bidi="ar"/>
        </w:rPr>
      </w:pPr>
      <w:r>
        <w:rPr>
          <w:rFonts w:hint="eastAsia" w:ascii="宋体" w:hAnsi="宋体" w:eastAsia="宋体" w:cs="宋体"/>
          <w:sz w:val="24"/>
          <w:szCs w:val="24"/>
          <w:lang w:eastAsia="zh-CN"/>
        </w:rPr>
        <w:t>账号</w:t>
      </w:r>
      <w:r>
        <w:rPr>
          <w:rFonts w:hint="eastAsia" w:ascii="宋体" w:hAnsi="宋体" w:eastAsia="宋体" w:cs="宋体"/>
          <w:sz w:val="24"/>
          <w:szCs w:val="24"/>
        </w:rPr>
        <w:t xml:space="preserve">: </w:t>
      </w:r>
    </w:p>
    <w:p w14:paraId="08C04EC6">
      <w:pPr>
        <w:topLinePunct/>
        <w:spacing w:line="360" w:lineRule="auto"/>
        <w:ind w:firstLine="420" w:firstLineChars="200"/>
        <w:rPr>
          <w:rFonts w:hint="eastAsia" w:ascii="宋体" w:hAnsi="宋体" w:eastAsia="宋体" w:cs="宋体"/>
          <w:szCs w:val="24"/>
        </w:rPr>
      </w:pPr>
      <w:r>
        <w:rPr>
          <w:rFonts w:hint="eastAsia" w:ascii="宋体" w:hAnsi="宋体" w:eastAsia="宋体" w:cs="宋体"/>
          <w:szCs w:val="24"/>
        </w:rPr>
        <w:t>开户行:</w:t>
      </w:r>
      <w:r>
        <w:rPr>
          <w:rFonts w:hint="eastAsia" w:ascii="宋体" w:hAnsi="宋体" w:eastAsia="宋体" w:cs="宋体"/>
          <w:szCs w:val="24"/>
          <w:lang w:bidi="ar"/>
        </w:rPr>
        <w:t xml:space="preserve"> </w:t>
      </w:r>
    </w:p>
    <w:p w14:paraId="47A7C2A3">
      <w:pPr>
        <w:topLinePunct/>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6ED5D425">
      <w:pPr>
        <w:topLinePunct/>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（三）结算要求：</w:t>
      </w:r>
      <w:r>
        <w:rPr>
          <w:rFonts w:hint="eastAsia" w:ascii="宋体" w:hAnsi="宋体" w:eastAsia="宋体" w:cs="宋体"/>
          <w:color w:val="000000"/>
          <w:szCs w:val="24"/>
          <w:lang w:val="en-US" w:eastAsia="zh-CN" w:bidi="ar"/>
        </w:rPr>
        <w:t>货票同行</w:t>
      </w:r>
      <w:r>
        <w:rPr>
          <w:rFonts w:hint="eastAsia" w:ascii="宋体" w:hAnsi="宋体" w:eastAsia="宋体" w:cs="宋体"/>
          <w:szCs w:val="24"/>
          <w:lang w:bidi="ar"/>
        </w:rPr>
        <w:t>。</w:t>
      </w:r>
      <w:r>
        <w:rPr>
          <w:rFonts w:hint="eastAsia" w:ascii="宋体" w:hAnsi="宋体" w:eastAsia="宋体" w:cs="宋体"/>
          <w:szCs w:val="24"/>
        </w:rPr>
        <w:t>乙方迟延开具发票、无法开具发票或开具的发票金额低于约定金额的，甲方有权相应地迟延付款、暂不付款或按低于约定金额的发票金额来付款，并对此不承担任何责任。</w:t>
      </w:r>
    </w:p>
    <w:p w14:paraId="4FC08DED">
      <w:pPr>
        <w:topLinePunct/>
        <w:spacing w:line="360" w:lineRule="auto"/>
        <w:ind w:firstLineChars="200"/>
        <w:rPr>
          <w:rFonts w:hint="eastAsia" w:ascii="宋体" w:hAnsi="宋体" w:eastAsia="宋体" w:cs="宋体"/>
          <w:b/>
          <w:bCs/>
          <w:color w:val="000000"/>
          <w:szCs w:val="24"/>
        </w:rPr>
      </w:pPr>
      <w:r>
        <w:rPr>
          <w:rFonts w:hint="eastAsia" w:ascii="宋体" w:hAnsi="宋体" w:eastAsia="宋体" w:cs="宋体"/>
          <w:b/>
          <w:bCs/>
          <w:color w:val="000000"/>
          <w:szCs w:val="24"/>
          <w:lang w:val="en-US" w:eastAsia="zh-CN" w:bidi="ar"/>
        </w:rPr>
        <w:t>六</w:t>
      </w:r>
      <w:r>
        <w:rPr>
          <w:rFonts w:hint="eastAsia" w:ascii="宋体" w:hAnsi="宋体" w:eastAsia="宋体" w:cs="宋体"/>
          <w:b/>
          <w:bCs/>
          <w:color w:val="000000"/>
          <w:szCs w:val="24"/>
          <w:lang w:bidi="ar"/>
        </w:rPr>
        <w:t>、违约责任</w:t>
      </w:r>
    </w:p>
    <w:p w14:paraId="132C41C7">
      <w:pPr>
        <w:topLinePunct/>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color w:val="000000"/>
          <w:szCs w:val="24"/>
          <w:lang w:val="en-US" w:eastAsia="zh-CN" w:bidi="ar"/>
        </w:rPr>
        <w:t>（一）未按合同约定时间，逾期送货，经确认造成医院经济损失的由配送企业承担。</w:t>
      </w:r>
    </w:p>
    <w:p w14:paraId="1C6F178F">
      <w:pPr>
        <w:numPr>
          <w:ilvl w:val="0"/>
          <w:numId w:val="0"/>
        </w:numPr>
        <w:topLinePunct/>
        <w:spacing w:line="360" w:lineRule="auto"/>
        <w:ind w:firstLine="420" w:firstLineChars="200"/>
        <w:rPr>
          <w:rFonts w:hint="eastAsia" w:ascii="宋体" w:hAnsi="宋体" w:eastAsia="宋体" w:cs="宋体"/>
          <w:color w:val="000000"/>
          <w:szCs w:val="24"/>
          <w:lang w:val="en-US" w:eastAsia="zh-CN" w:bidi="ar"/>
        </w:rPr>
      </w:pPr>
      <w:r>
        <w:rPr>
          <w:rFonts w:hint="eastAsia" w:ascii="宋体" w:hAnsi="宋体" w:eastAsia="宋体" w:cs="宋体"/>
          <w:sz w:val="21"/>
          <w:szCs w:val="21"/>
          <w:lang w:val="en-US" w:eastAsia="zh-CN"/>
        </w:rPr>
        <w:t>（二）中标人提供的应是经合法途径取得的质量合格的药品，符合现行国家或行业技术及相关标准和招标文件的规定。</w:t>
      </w:r>
      <w:r>
        <w:rPr>
          <w:rFonts w:hint="eastAsia" w:ascii="宋体" w:hAnsi="宋体" w:eastAsia="宋体" w:cs="宋体"/>
          <w:color w:val="000000"/>
          <w:szCs w:val="24"/>
          <w:lang w:val="en-US" w:eastAsia="zh-CN" w:bidi="ar"/>
        </w:rPr>
        <w:t>因药品质量问题造成医院损失的一切后果由</w:t>
      </w:r>
      <w:r>
        <w:rPr>
          <w:rFonts w:hint="eastAsia" w:ascii="宋体" w:hAnsi="宋体" w:eastAsia="宋体" w:cs="宋体"/>
          <w:sz w:val="21"/>
          <w:szCs w:val="21"/>
          <w:lang w:val="en-US" w:eastAsia="zh-CN"/>
        </w:rPr>
        <w:t>中标人承担违约责任。</w:t>
      </w:r>
      <w:r>
        <w:rPr>
          <w:rFonts w:hint="eastAsia" w:ascii="宋体" w:hAnsi="宋体" w:eastAsia="宋体" w:cs="宋体"/>
          <w:color w:val="000000"/>
          <w:szCs w:val="24"/>
          <w:lang w:val="en-US" w:eastAsia="zh-CN" w:bidi="ar"/>
        </w:rPr>
        <w:t>入库后的中药饮片若发生质量问题以及涉及到的医疗纠纷，甲方有权暂时停止向乙方支付未付货款并在应向乙方支付的货款中扣除甲方支出的医疗费以及追索权利产生的各项损失（包括但不限于律师费、诉讼费、保全费、保全保险费等）。乙方有责任和义务解决因货物质量引起的不良事件。</w:t>
      </w:r>
    </w:p>
    <w:p w14:paraId="3836A56D">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（三）凡出现下列情形之一者，医院有权利取消中选配送企业的配送权限：</w:t>
      </w:r>
    </w:p>
    <w:p w14:paraId="14D329CB">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1、配送企业提供的中药饮片属于假药、劣药的；</w:t>
      </w:r>
    </w:p>
    <w:p w14:paraId="38AEF302">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color w:val="000000"/>
          <w:szCs w:val="24"/>
          <w:lang w:val="en-US" w:eastAsia="zh-CN" w:bidi="ar"/>
        </w:rPr>
      </w:pPr>
      <w:r>
        <w:rPr>
          <w:rFonts w:hint="eastAsia" w:ascii="宋体" w:hAnsi="宋体" w:eastAsia="宋体" w:cs="宋体"/>
          <w:color w:val="000000"/>
          <w:szCs w:val="24"/>
          <w:lang w:val="en-US" w:eastAsia="zh-CN" w:bidi="ar"/>
        </w:rPr>
        <w:t>2、配送企业在合同签订后不能及时供货的。</w:t>
      </w:r>
    </w:p>
    <w:p w14:paraId="21A15D6D">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（四）遇以下情况，招标人有权向其他经营企业采购，由此产生差价的，将由中标人承担:</w:t>
      </w:r>
    </w:p>
    <w:p w14:paraId="051A668A">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1、中标人所供中药饮片存在质量问题的；</w:t>
      </w:r>
    </w:p>
    <w:p w14:paraId="0440FB52">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2、招标人所送中药饮片验收不合格或不符合要求的；</w:t>
      </w:r>
    </w:p>
    <w:p w14:paraId="5C4DE58E">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3、中标人没有能力提供或不能及时提供医院招标目录中的若干中药饮片，或无法满足医院因临床需要药品目录外中药材的采购需求；</w:t>
      </w:r>
    </w:p>
    <w:p w14:paraId="6B8C0C44">
      <w:pPr>
        <w:widowControl/>
        <w:numPr>
          <w:ilvl w:val="0"/>
          <w:numId w:val="0"/>
        </w:numPr>
        <w:kinsoku w:val="0"/>
        <w:autoSpaceDE w:val="0"/>
        <w:autoSpaceDN w:val="0"/>
        <w:adjustRightInd w:val="0"/>
        <w:snapToGrid w:val="0"/>
        <w:spacing w:line="360" w:lineRule="auto"/>
        <w:ind w:firstLine="420" w:firstLineChars="200"/>
        <w:textAlignment w:val="baseline"/>
        <w:rPr>
          <w:rFonts w:hint="eastAsia" w:ascii="宋体" w:hAnsi="宋体" w:eastAsia="宋体" w:cs="宋体"/>
          <w:color w:val="000000"/>
          <w:szCs w:val="24"/>
          <w:lang w:val="en-US" w:eastAsia="zh-CN" w:bidi="ar"/>
        </w:rPr>
      </w:pPr>
      <w:r>
        <w:rPr>
          <w:rFonts w:hint="eastAsia" w:ascii="宋体" w:hAnsi="宋体" w:eastAsia="宋体" w:cs="宋体"/>
          <w:sz w:val="21"/>
          <w:szCs w:val="21"/>
          <w:lang w:val="en-US" w:eastAsia="zh-CN"/>
        </w:rPr>
        <w:t>4、其他不符合要求的情形。</w:t>
      </w:r>
    </w:p>
    <w:p w14:paraId="20F543EC">
      <w:pPr>
        <w:topLinePunct/>
        <w:spacing w:line="360" w:lineRule="auto"/>
        <w:ind w:firstLineChars="200"/>
        <w:rPr>
          <w:rFonts w:hint="eastAsia" w:ascii="宋体" w:hAnsi="宋体" w:eastAsia="宋体" w:cs="宋体"/>
          <w:b/>
          <w:bCs/>
          <w:color w:val="000000"/>
          <w:szCs w:val="24"/>
          <w:lang w:bidi="ar"/>
        </w:rPr>
      </w:pPr>
      <w:r>
        <w:rPr>
          <w:rFonts w:hint="eastAsia" w:ascii="宋体" w:hAnsi="宋体" w:eastAsia="宋体" w:cs="宋体"/>
          <w:b/>
          <w:bCs/>
          <w:color w:val="000000"/>
          <w:szCs w:val="24"/>
          <w:lang w:val="en-US" w:eastAsia="zh-CN" w:bidi="ar"/>
        </w:rPr>
        <w:t>七</w:t>
      </w:r>
      <w:r>
        <w:rPr>
          <w:rFonts w:hint="eastAsia" w:ascii="宋体" w:hAnsi="宋体" w:eastAsia="宋体" w:cs="宋体"/>
          <w:b/>
          <w:bCs/>
          <w:color w:val="000000"/>
          <w:szCs w:val="24"/>
          <w:lang w:bidi="ar"/>
        </w:rPr>
        <w:t>、争议解决方式</w:t>
      </w:r>
    </w:p>
    <w:p w14:paraId="3E6BE986">
      <w:pPr>
        <w:topLinePunct/>
        <w:spacing w:line="360" w:lineRule="auto"/>
        <w:ind w:firstLine="420" w:firstLineChars="200"/>
        <w:rPr>
          <w:rFonts w:hint="eastAsia" w:ascii="宋体" w:hAnsi="宋体" w:eastAsia="宋体" w:cs="宋体"/>
          <w:color w:val="000000"/>
          <w:szCs w:val="24"/>
          <w:lang w:bidi="ar"/>
        </w:rPr>
      </w:pPr>
      <w:r>
        <w:rPr>
          <w:rFonts w:hint="eastAsia" w:ascii="宋体" w:hAnsi="宋体" w:eastAsia="宋体" w:cs="宋体"/>
          <w:color w:val="000000"/>
          <w:szCs w:val="24"/>
          <w:lang w:bidi="ar"/>
        </w:rPr>
        <w:t>因本合同而发生的争议或纠纷，甲乙双方应先协商解决，协商不成时可向甲方所在地的人民法院提起诉讼。</w:t>
      </w:r>
    </w:p>
    <w:p w14:paraId="73FC4B22">
      <w:pPr>
        <w:topLinePunct/>
        <w:spacing w:line="360" w:lineRule="auto"/>
        <w:ind w:firstLineChars="200"/>
        <w:rPr>
          <w:rFonts w:hint="eastAsia" w:ascii="宋体" w:hAnsi="宋体" w:eastAsia="宋体" w:cs="宋体"/>
          <w:b/>
          <w:bCs/>
          <w:color w:val="000000"/>
          <w:szCs w:val="24"/>
          <w:lang w:bidi="ar"/>
        </w:rPr>
      </w:pPr>
      <w:r>
        <w:rPr>
          <w:rFonts w:hint="eastAsia" w:ascii="宋体" w:hAnsi="宋体" w:eastAsia="宋体" w:cs="宋体"/>
          <w:b/>
          <w:bCs/>
          <w:color w:val="000000"/>
          <w:szCs w:val="24"/>
          <w:lang w:val="en-US" w:eastAsia="zh-CN" w:bidi="ar"/>
        </w:rPr>
        <w:t>八</w:t>
      </w:r>
      <w:r>
        <w:rPr>
          <w:rFonts w:hint="eastAsia" w:ascii="宋体" w:hAnsi="宋体" w:eastAsia="宋体" w:cs="宋体"/>
          <w:b/>
          <w:bCs/>
          <w:color w:val="000000"/>
          <w:szCs w:val="24"/>
          <w:lang w:bidi="ar"/>
        </w:rPr>
        <w:t>、其他约定</w:t>
      </w:r>
    </w:p>
    <w:p w14:paraId="2800C497">
      <w:pPr>
        <w:topLinePunct/>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1、如因</w:t>
      </w:r>
      <w:r>
        <w:rPr>
          <w:rFonts w:hint="eastAsia" w:ascii="宋体" w:hAnsi="宋体" w:eastAsia="宋体" w:cs="宋体"/>
          <w:color w:val="000000"/>
          <w:szCs w:val="24"/>
          <w:lang w:val="en-US" w:eastAsia="zh-CN" w:bidi="ar"/>
        </w:rPr>
        <w:t>药品</w:t>
      </w:r>
      <w:r>
        <w:rPr>
          <w:rFonts w:hint="eastAsia" w:ascii="宋体" w:hAnsi="宋体" w:eastAsia="宋体" w:cs="宋体"/>
          <w:color w:val="000000"/>
          <w:szCs w:val="24"/>
          <w:lang w:bidi="ar"/>
        </w:rPr>
        <w:t>质量或原始标（警）示不清等原因，导致甲方损失，或造成甲方操作人员、第三方人员人身伤害，乙方应依法予以赔偿。</w:t>
      </w:r>
    </w:p>
    <w:p w14:paraId="44860AAF">
      <w:pPr>
        <w:topLinePunct/>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2、本协议项下的通知和送达均应通过本协议列明的途径进行。上述文件应由专人传递或通过电子邮箱送达，如由专人传送，则于送达指定专人接收之日视为正式送交；如由电子邮箱送达，则以发出之日为准。任何一方变更地址或法定代表人或企业名称等相关信息时，应当提前3个工作日内以书面形式通知对方。本合同载明的联系方式/通讯地址也适用于双方争议处理过程中人民法院等第三方机构送达法律文书及文件的有效联系方式和送达地址。</w:t>
      </w:r>
    </w:p>
    <w:p w14:paraId="1A4D2855">
      <w:pPr>
        <w:topLinePunct/>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3、以下资料为本合同不可分割部分：（1）本合同所涉产品的国家标准及乙方宣传标准；（2）本产品的详细资料；（3）本套产品配置及配套设备报价详单；（4）本项目招投标文件、答疑文件及其他补充说明文件等招投标内容。</w:t>
      </w:r>
    </w:p>
    <w:p w14:paraId="42C0B7EF">
      <w:pPr>
        <w:topLinePunct/>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4、本合同一式</w:t>
      </w:r>
      <w:r>
        <w:rPr>
          <w:rFonts w:hint="eastAsia" w:ascii="宋体" w:hAnsi="宋体" w:eastAsia="宋体" w:cs="宋体"/>
          <w:color w:val="000000"/>
          <w:szCs w:val="24"/>
          <w:lang w:eastAsia="zh-CN" w:bidi="ar"/>
        </w:rPr>
        <w:t>肆</w:t>
      </w:r>
      <w:r>
        <w:rPr>
          <w:rFonts w:hint="eastAsia" w:ascii="宋体" w:hAnsi="宋体" w:eastAsia="宋体" w:cs="宋体"/>
          <w:color w:val="000000"/>
          <w:szCs w:val="24"/>
          <w:lang w:bidi="ar"/>
        </w:rPr>
        <w:t>份，甲方执</w:t>
      </w:r>
      <w:r>
        <w:rPr>
          <w:rFonts w:hint="eastAsia" w:ascii="宋体" w:hAnsi="宋体" w:eastAsia="宋体" w:cs="宋体"/>
          <w:color w:val="000000"/>
          <w:szCs w:val="24"/>
          <w:lang w:eastAsia="zh-CN" w:bidi="ar"/>
        </w:rPr>
        <w:t>叁</w:t>
      </w:r>
      <w:r>
        <w:rPr>
          <w:rFonts w:hint="eastAsia" w:ascii="宋体" w:hAnsi="宋体" w:eastAsia="宋体" w:cs="宋体"/>
          <w:color w:val="000000"/>
          <w:szCs w:val="24"/>
          <w:lang w:bidi="ar"/>
        </w:rPr>
        <w:t>份</w:t>
      </w:r>
      <w:r>
        <w:rPr>
          <w:rFonts w:hint="eastAsia" w:ascii="宋体" w:hAnsi="宋体" w:eastAsia="宋体" w:cs="宋体"/>
          <w:color w:val="000000"/>
          <w:szCs w:val="24"/>
          <w:lang w:eastAsia="zh-CN" w:bidi="ar"/>
        </w:rPr>
        <w:t>，</w:t>
      </w:r>
      <w:r>
        <w:rPr>
          <w:rFonts w:hint="eastAsia" w:ascii="宋体" w:hAnsi="宋体" w:eastAsia="宋体" w:cs="宋体"/>
          <w:color w:val="000000"/>
          <w:szCs w:val="24"/>
          <w:lang w:bidi="ar"/>
        </w:rPr>
        <w:t>乙方执壹份，均具有同等法律效力。</w:t>
      </w:r>
    </w:p>
    <w:p w14:paraId="2E2BD9F1">
      <w:pPr>
        <w:topLinePunct/>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5、本合同未尽事宜，由甲、乙双方另行签订补充协议。</w:t>
      </w:r>
    </w:p>
    <w:p w14:paraId="4AB388D4">
      <w:pPr>
        <w:topLinePunct/>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6、本合同自甲、乙双方盖章或签字之日起生效。</w:t>
      </w:r>
    </w:p>
    <w:p w14:paraId="19EA7D90">
      <w:pPr>
        <w:topLinePunct/>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（以下无正文）</w:t>
      </w:r>
    </w:p>
    <w:p w14:paraId="6B933968">
      <w:pPr>
        <w:spacing w:line="360" w:lineRule="auto"/>
        <w:rPr>
          <w:rFonts w:hint="eastAsia" w:ascii="宋体" w:hAnsi="宋体" w:eastAsia="宋体" w:cs="宋体"/>
          <w:color w:val="993300"/>
          <w:szCs w:val="24"/>
        </w:rPr>
      </w:pPr>
      <w:r>
        <w:rPr>
          <w:rFonts w:hint="eastAsia" w:ascii="宋体" w:hAnsi="宋体" w:eastAsia="宋体" w:cs="宋体"/>
          <w:color w:val="993300"/>
          <w:szCs w:val="24"/>
          <w:lang w:bidi="ar"/>
        </w:rPr>
        <w:t xml:space="preserve"> </w:t>
      </w:r>
    </w:p>
    <w:p w14:paraId="4F3C8843">
      <w:pPr>
        <w:topLinePunct/>
        <w:autoSpaceDE w:val="0"/>
        <w:spacing w:line="360" w:lineRule="auto"/>
        <w:ind w:left="6149" w:leftChars="228" w:hanging="5670" w:hangingChars="2700"/>
        <w:rPr>
          <w:rFonts w:hint="eastAsia" w:ascii="宋体" w:hAnsi="宋体" w:eastAsia="宋体" w:cs="宋体"/>
        </w:rPr>
      </w:pPr>
      <w:r>
        <w:rPr>
          <w:rFonts w:hint="eastAsia" w:ascii="宋体" w:hAnsi="宋体" w:eastAsia="宋体" w:cs="宋体"/>
          <w:color w:val="000000"/>
          <w:szCs w:val="24"/>
          <w:lang w:bidi="ar"/>
        </w:rPr>
        <w:t>甲  方（公章）</w:t>
      </w:r>
      <w:r>
        <w:rPr>
          <w:rFonts w:hint="eastAsia" w:ascii="宋体" w:hAnsi="宋体" w:eastAsia="宋体" w:cs="宋体"/>
          <w:color w:val="000000"/>
          <w:szCs w:val="24"/>
          <w:lang w:eastAsia="zh-CN" w:bidi="ar"/>
        </w:rPr>
        <w:t>陕西省康复医院</w:t>
      </w:r>
      <w:r>
        <w:rPr>
          <w:rFonts w:hint="eastAsia" w:ascii="宋体" w:hAnsi="宋体" w:eastAsia="宋体" w:cs="宋体"/>
          <w:color w:val="000000"/>
          <w:szCs w:val="24"/>
          <w:lang w:bidi="ar"/>
        </w:rPr>
        <w:t xml:space="preserve">    </w:t>
      </w:r>
      <w:r>
        <w:rPr>
          <w:rFonts w:hint="eastAsia" w:ascii="宋体" w:hAnsi="宋体" w:eastAsia="宋体" w:cs="宋体"/>
          <w:color w:val="000000"/>
          <w:szCs w:val="24"/>
          <w:lang w:eastAsia="zh-CN" w:bidi="ar"/>
        </w:rPr>
        <w:t xml:space="preserve">    </w:t>
      </w:r>
      <w:r>
        <w:rPr>
          <w:rFonts w:hint="eastAsia" w:ascii="宋体" w:hAnsi="宋体" w:eastAsia="宋体" w:cs="宋体"/>
          <w:color w:val="000000"/>
          <w:szCs w:val="24"/>
          <w:lang w:bidi="ar"/>
        </w:rPr>
        <w:t xml:space="preserve"> 乙  方（公章）</w:t>
      </w:r>
    </w:p>
    <w:p w14:paraId="35324724">
      <w:pPr>
        <w:topLinePunct/>
        <w:autoSpaceDE w:val="0"/>
        <w:spacing w:line="360" w:lineRule="auto"/>
        <w:ind w:firstLine="420" w:firstLineChars="200"/>
        <w:rPr>
          <w:rFonts w:hint="eastAsia" w:ascii="宋体" w:hAnsi="宋体" w:eastAsia="宋体" w:cs="宋体"/>
        </w:rPr>
      </w:pPr>
      <w:r>
        <w:rPr>
          <w:rFonts w:hint="eastAsia" w:ascii="宋体" w:hAnsi="宋体" w:eastAsia="宋体" w:cs="宋体"/>
          <w:color w:val="000000"/>
          <w:szCs w:val="24"/>
          <w:lang w:bidi="ar"/>
        </w:rPr>
        <w:t>法定代表人</w:t>
      </w:r>
      <w:r>
        <w:rPr>
          <w:rFonts w:hint="eastAsia" w:ascii="宋体" w:hAnsi="宋体" w:eastAsia="宋体" w:cs="宋体"/>
          <w:color w:val="000000"/>
          <w:szCs w:val="24"/>
          <w:lang w:eastAsia="zh-CN" w:bidi="ar"/>
        </w:rPr>
        <w:t>或</w:t>
      </w:r>
      <w:r>
        <w:rPr>
          <w:rFonts w:hint="eastAsia" w:ascii="宋体" w:hAnsi="宋体" w:eastAsia="宋体" w:cs="宋体"/>
          <w:color w:val="000000"/>
          <w:szCs w:val="24"/>
          <w:lang w:bidi="ar"/>
        </w:rPr>
        <w:t>代理人：</w:t>
      </w:r>
      <w:r>
        <w:rPr>
          <w:rFonts w:hint="eastAsia" w:ascii="宋体" w:hAnsi="宋体" w:eastAsia="宋体" w:cs="宋体"/>
          <w:color w:val="000000"/>
          <w:szCs w:val="24"/>
          <w:lang w:eastAsia="zh-CN" w:bidi="ar"/>
        </w:rPr>
        <w:t xml:space="preserve">       </w:t>
      </w:r>
      <w:r>
        <w:rPr>
          <w:rFonts w:hint="eastAsia" w:ascii="宋体" w:hAnsi="宋体" w:eastAsia="宋体" w:cs="宋体"/>
          <w:color w:val="000000"/>
          <w:szCs w:val="24"/>
          <w:lang w:bidi="ar"/>
        </w:rPr>
        <w:t xml:space="preserve">         法定代表</w:t>
      </w:r>
      <w:r>
        <w:rPr>
          <w:rFonts w:hint="eastAsia" w:ascii="宋体" w:hAnsi="宋体" w:eastAsia="宋体" w:cs="宋体"/>
          <w:color w:val="000000"/>
          <w:szCs w:val="24"/>
          <w:lang w:eastAsia="zh-CN" w:bidi="ar"/>
        </w:rPr>
        <w:t>人或</w:t>
      </w:r>
      <w:r>
        <w:rPr>
          <w:rFonts w:hint="eastAsia" w:ascii="宋体" w:hAnsi="宋体" w:eastAsia="宋体" w:cs="宋体"/>
          <w:color w:val="000000"/>
          <w:szCs w:val="24"/>
          <w:lang w:bidi="ar"/>
        </w:rPr>
        <w:t>代理人：</w:t>
      </w:r>
    </w:p>
    <w:p w14:paraId="7A4D5C47">
      <w:pPr>
        <w:topLinePunct/>
        <w:autoSpaceDE w:val="0"/>
        <w:spacing w:line="360" w:lineRule="auto"/>
        <w:ind w:firstLine="420" w:firstLineChars="200"/>
        <w:rPr>
          <w:rFonts w:hint="eastAsia" w:ascii="宋体" w:hAnsi="宋体" w:eastAsia="宋体" w:cs="宋体"/>
          <w:color w:val="000000"/>
          <w:szCs w:val="24"/>
        </w:rPr>
      </w:pPr>
      <w:r>
        <w:rPr>
          <w:rFonts w:hint="eastAsia" w:ascii="宋体" w:hAnsi="宋体" w:eastAsia="宋体" w:cs="宋体"/>
          <w:color w:val="000000"/>
          <w:szCs w:val="24"/>
          <w:lang w:bidi="ar"/>
        </w:rPr>
        <w:t xml:space="preserve">（签字）                  </w:t>
      </w:r>
      <w:r>
        <w:rPr>
          <w:rFonts w:hint="eastAsia" w:ascii="宋体" w:hAnsi="宋体" w:eastAsia="宋体" w:cs="宋体"/>
          <w:color w:val="000000"/>
          <w:szCs w:val="24"/>
          <w:lang w:eastAsia="zh-CN" w:bidi="ar"/>
        </w:rPr>
        <w:t xml:space="preserve">           </w:t>
      </w:r>
      <w:r>
        <w:rPr>
          <w:rFonts w:hint="eastAsia" w:ascii="宋体" w:hAnsi="宋体" w:eastAsia="宋体" w:cs="宋体"/>
          <w:color w:val="000000"/>
          <w:szCs w:val="24"/>
          <w:lang w:bidi="ar"/>
        </w:rPr>
        <w:t>（签字）</w:t>
      </w:r>
    </w:p>
    <w:p w14:paraId="6571FB9E">
      <w:pPr>
        <w:topLinePunct/>
        <w:autoSpaceDE w:val="0"/>
        <w:spacing w:line="360" w:lineRule="auto"/>
        <w:ind w:firstLine="420" w:firstLineChars="200"/>
        <w:rPr>
          <w:rFonts w:hint="eastAsia" w:ascii="宋体" w:hAnsi="宋体" w:eastAsia="宋体" w:cs="宋体"/>
          <w:color w:val="000000"/>
          <w:szCs w:val="24"/>
          <w:lang w:eastAsia="zh-CN" w:bidi="ar"/>
        </w:rPr>
      </w:pPr>
      <w:r>
        <w:rPr>
          <w:rFonts w:hint="eastAsia" w:ascii="宋体" w:hAnsi="宋体" w:eastAsia="宋体" w:cs="宋体"/>
          <w:color w:val="000000"/>
          <w:szCs w:val="24"/>
          <w:lang w:bidi="ar"/>
        </w:rPr>
        <w:t xml:space="preserve">签订日期： 年   月   日            </w:t>
      </w:r>
      <w:r>
        <w:rPr>
          <w:rFonts w:hint="eastAsia" w:ascii="宋体" w:hAnsi="宋体" w:eastAsia="宋体" w:cs="宋体"/>
          <w:color w:val="000000"/>
          <w:szCs w:val="24"/>
          <w:lang w:eastAsia="zh-CN" w:bidi="ar"/>
        </w:rPr>
        <w:t xml:space="preserve"> </w:t>
      </w:r>
      <w:r>
        <w:rPr>
          <w:rFonts w:hint="eastAsia" w:ascii="宋体" w:hAnsi="宋体" w:eastAsia="宋体" w:cs="宋体"/>
          <w:color w:val="000000"/>
          <w:szCs w:val="24"/>
          <w:lang w:bidi="ar"/>
        </w:rPr>
        <w:t xml:space="preserve"> 签订日期：  年   月   日</w:t>
      </w:r>
    </w:p>
    <w:p w14:paraId="57AB3B54">
      <w:pPr>
        <w:rPr>
          <w:rFonts w:hint="eastAsia" w:ascii="宋体" w:hAnsi="宋体" w:eastAsia="宋体" w:cs="宋体"/>
          <w:color w:val="000000"/>
          <w:szCs w:val="24"/>
          <w:lang w:eastAsia="zh-CN" w:bidi="ar"/>
        </w:rPr>
      </w:pPr>
    </w:p>
    <w:p w14:paraId="01412931">
      <w:pPr>
        <w:rPr>
          <w:rFonts w:hint="eastAsia" w:ascii="宋体" w:hAnsi="宋体" w:eastAsia="宋体" w:cs="宋体"/>
          <w:color w:val="000000"/>
          <w:szCs w:val="24"/>
          <w:lang w:eastAsia="zh-CN" w:bidi="ar"/>
        </w:rPr>
      </w:pPr>
      <w:r>
        <w:rPr>
          <w:rFonts w:hint="eastAsia" w:ascii="宋体" w:hAnsi="宋体" w:eastAsia="宋体" w:cs="宋体"/>
          <w:color w:val="000000"/>
          <w:szCs w:val="24"/>
          <w:lang w:eastAsia="zh-CN" w:bidi="ar"/>
        </w:rPr>
        <w:t>清单附后：</w:t>
      </w:r>
    </w:p>
    <w:p w14:paraId="7E840C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2AE681"/>
    <w:multiLevelType w:val="singleLevel"/>
    <w:tmpl w:val="0D2AE68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70383D"/>
    <w:rsid w:val="21881440"/>
    <w:rsid w:val="2FB4365E"/>
    <w:rsid w:val="4AF313B8"/>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link w:val="7"/>
    <w:qFormat/>
    <w:uiPriority w:val="0"/>
    <w:rPr>
      <w:rFonts w:ascii="仿宋" w:hAnsi="仿宋"/>
      <w:szCs w:val="21"/>
    </w:rPr>
  </w:style>
  <w:style w:type="paragraph" w:styleId="4">
    <w:name w:val="Body Text Indent 3"/>
    <w:basedOn w:val="1"/>
    <w:unhideWhenUsed/>
    <w:qFormat/>
    <w:uiPriority w:val="0"/>
    <w:pPr>
      <w:spacing w:after="120"/>
      <w:ind w:left="420" w:leftChars="200"/>
    </w:pPr>
    <w:rPr>
      <w:sz w:val="16"/>
      <w:szCs w:val="16"/>
    </w:rPr>
  </w:style>
  <w:style w:type="character" w:customStyle="1" w:styleId="7">
    <w:name w:val="纯文本 字符1"/>
    <w:link w:val="3"/>
    <w:qFormat/>
    <w:locked/>
    <w:uiPriority w:val="99"/>
    <w:rPr>
      <w:rFonts w:ascii="仿宋" w:hAnsi="仿宋" w:eastAsia="仿宋"/>
      <w:kern w:val="2"/>
      <w:sz w:val="32"/>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3181</Words>
  <Characters>3222</Characters>
  <Lines>0</Lines>
  <Paragraphs>0</Paragraphs>
  <TotalTime>1</TotalTime>
  <ScaleCrop>false</ScaleCrop>
  <LinksUpToDate>false</LinksUpToDate>
  <CharactersWithSpaces>3373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2025-05-20T05:54:54Z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