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4F7C8C">
      <w:pPr>
        <w:keepNext w:val="0"/>
        <w:keepLines w:val="0"/>
        <w:pageBreakBefore w:val="0"/>
        <w:widowControl/>
        <w:kinsoku w:val="0"/>
        <w:wordWrap/>
        <w:overflowPunct/>
        <w:topLinePunct w:val="0"/>
        <w:autoSpaceDE w:val="0"/>
        <w:autoSpaceDN w:val="0"/>
        <w:bidi w:val="0"/>
        <w:adjustRightInd/>
        <w:snapToGrid/>
        <w:spacing w:line="312" w:lineRule="auto"/>
        <w:ind w:left="0"/>
        <w:jc w:val="center"/>
        <w:textAlignment w:val="baseline"/>
        <w:outlineLvl w:val="0"/>
        <w:rPr>
          <w:rFonts w:hint="eastAsia" w:ascii="宋体" w:hAnsi="宋体" w:eastAsia="宋体" w:cs="宋体"/>
          <w:b/>
          <w:bCs/>
          <w:spacing w:val="0"/>
          <w:position w:val="0"/>
          <w:sz w:val="31"/>
          <w:szCs w:val="31"/>
          <w:highlight w:val="none"/>
        </w:rPr>
      </w:pPr>
      <w:bookmarkStart w:id="0" w:name="_GoBack"/>
      <w:r>
        <w:rPr>
          <w:rFonts w:hint="eastAsia" w:ascii="宋体" w:hAnsi="宋体" w:eastAsia="宋体" w:cs="宋体"/>
          <w:b/>
          <w:bCs/>
          <w:spacing w:val="0"/>
          <w:position w:val="0"/>
          <w:sz w:val="31"/>
          <w:szCs w:val="31"/>
          <w:highlight w:val="none"/>
        </w:rPr>
        <w:t>拟签订合同文本</w:t>
      </w:r>
    </w:p>
    <w:bookmarkEnd w:id="0"/>
    <w:p w14:paraId="06B71B41">
      <w:pPr>
        <w:keepNext w:val="0"/>
        <w:keepLines w:val="0"/>
        <w:pageBreakBefore w:val="0"/>
        <w:widowControl/>
        <w:kinsoku w:val="0"/>
        <w:wordWrap/>
        <w:overflowPunct/>
        <w:topLinePunct w:val="0"/>
        <w:autoSpaceDE w:val="0"/>
        <w:autoSpaceDN w:val="0"/>
        <w:bidi w:val="0"/>
        <w:adjustRightInd/>
        <w:snapToGrid/>
        <w:spacing w:line="312" w:lineRule="auto"/>
        <w:ind w:left="0" w:right="0" w:firstLine="420" w:firstLineChars="200"/>
        <w:textAlignment w:val="baseline"/>
        <w:outlineLvl w:val="9"/>
        <w:rPr>
          <w:rFonts w:hint="eastAsia" w:ascii="宋体" w:hAnsi="宋体" w:eastAsia="宋体" w:cs="宋体"/>
          <w:spacing w:val="0"/>
          <w:position w:val="0"/>
          <w:sz w:val="31"/>
          <w:szCs w:val="31"/>
          <w:highlight w:val="none"/>
        </w:rPr>
      </w:pPr>
      <w:r>
        <w:rPr>
          <w:rFonts w:hint="eastAsia" w:ascii="宋体" w:hAnsi="宋体" w:eastAsia="宋体" w:cs="宋体"/>
          <w:spacing w:val="0"/>
          <w:position w:val="0"/>
          <w:sz w:val="21"/>
          <w:szCs w:val="21"/>
          <w:highlight w:val="none"/>
        </w:rPr>
        <w:t>详见附件：合同格式（参考格式）</w:t>
      </w:r>
    </w:p>
    <w:p w14:paraId="579C25EC">
      <w:pPr>
        <w:keepNext w:val="0"/>
        <w:keepLines w:val="0"/>
        <w:pageBreakBefore w:val="0"/>
        <w:widowControl/>
        <w:tabs>
          <w:tab w:val="left" w:pos="735"/>
        </w:tabs>
        <w:kinsoku w:val="0"/>
        <w:wordWrap/>
        <w:overflowPunct/>
        <w:topLinePunct w:val="0"/>
        <w:autoSpaceDE w:val="0"/>
        <w:autoSpaceDN w:val="0"/>
        <w:bidi w:val="0"/>
        <w:adjustRightInd w:val="0"/>
        <w:snapToGrid w:val="0"/>
        <w:spacing w:line="312" w:lineRule="auto"/>
        <w:jc w:val="center"/>
        <w:textAlignment w:val="baseline"/>
        <w:outlineLvl w:val="9"/>
        <w:rPr>
          <w:rFonts w:hint="eastAsia" w:ascii="宋体" w:hAnsi="宋体" w:eastAsia="宋体"/>
          <w:b/>
          <w:bCs/>
          <w:sz w:val="24"/>
          <w:szCs w:val="24"/>
          <w:highlight w:val="none"/>
          <w:lang w:val="zh-CN" w:eastAsia="zh-CN"/>
        </w:rPr>
      </w:pPr>
      <w:r>
        <w:rPr>
          <w:rFonts w:hint="eastAsia" w:ascii="宋体" w:hAnsi="宋体" w:cs="宋体"/>
          <w:b/>
          <w:bCs/>
          <w:color w:val="auto"/>
          <w:sz w:val="32"/>
          <w:szCs w:val="32"/>
          <w:highlight w:val="none"/>
        </w:rPr>
        <w:t>合同</w:t>
      </w:r>
      <w:r>
        <w:rPr>
          <w:rFonts w:hint="eastAsia" w:ascii="宋体" w:hAnsi="宋体" w:eastAsia="宋体" w:cs="宋体"/>
          <w:b/>
          <w:bCs/>
          <w:color w:val="auto"/>
          <w:sz w:val="32"/>
          <w:szCs w:val="32"/>
          <w:highlight w:val="none"/>
          <w:lang w:eastAsia="zh-CN"/>
        </w:rPr>
        <w:t>格式（参考格式）</w:t>
      </w:r>
    </w:p>
    <w:p w14:paraId="078BCDFB">
      <w:pPr>
        <w:keepNext w:val="0"/>
        <w:keepLines w:val="0"/>
        <w:pageBreakBefore w:val="0"/>
        <w:tabs>
          <w:tab w:val="left" w:pos="735"/>
        </w:tabs>
        <w:wordWrap/>
        <w:overflowPunct/>
        <w:topLinePunct w:val="0"/>
        <w:autoSpaceDE w:val="0"/>
        <w:autoSpaceDN w:val="0"/>
        <w:bidi w:val="0"/>
        <w:adjustRightInd w:val="0"/>
        <w:snapToGrid w:val="0"/>
        <w:spacing w:line="312" w:lineRule="auto"/>
        <w:ind w:firstLine="631"/>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zh-CN" w:eastAsia="zh-CN"/>
        </w:rPr>
        <w:t>甲方：</w:t>
      </w:r>
      <w:r>
        <w:rPr>
          <w:rFonts w:hint="eastAsia" w:ascii="宋体" w:hAnsi="宋体" w:eastAsia="宋体" w:cs="宋体"/>
          <w:b/>
          <w:bCs/>
          <w:sz w:val="24"/>
          <w:szCs w:val="24"/>
          <w:highlight w:val="none"/>
          <w:u w:val="single"/>
          <w:lang w:eastAsia="zh-CN"/>
        </w:rPr>
        <w:t xml:space="preserve">                         </w:t>
      </w:r>
    </w:p>
    <w:p w14:paraId="17177C31">
      <w:pPr>
        <w:keepNext w:val="0"/>
        <w:keepLines w:val="0"/>
        <w:pageBreakBefore w:val="0"/>
        <w:tabs>
          <w:tab w:val="left" w:pos="735"/>
        </w:tabs>
        <w:wordWrap/>
        <w:overflowPunct/>
        <w:topLinePunct w:val="0"/>
        <w:autoSpaceDE w:val="0"/>
        <w:autoSpaceDN w:val="0"/>
        <w:bidi w:val="0"/>
        <w:adjustRightInd w:val="0"/>
        <w:snapToGrid w:val="0"/>
        <w:spacing w:line="312" w:lineRule="auto"/>
        <w:ind w:firstLine="631"/>
        <w:rPr>
          <w:rFonts w:hint="eastAsia" w:ascii="宋体" w:hAnsi="宋体" w:eastAsia="宋体" w:cs="宋体"/>
          <w:bCs/>
          <w:sz w:val="24"/>
          <w:szCs w:val="24"/>
          <w:highlight w:val="none"/>
          <w:lang w:val="zh-CN" w:eastAsia="zh-CN"/>
        </w:rPr>
      </w:pPr>
      <w:r>
        <w:rPr>
          <w:rFonts w:hint="eastAsia" w:ascii="宋体" w:hAnsi="宋体" w:eastAsia="宋体" w:cs="宋体"/>
          <w:b/>
          <w:bCs/>
          <w:sz w:val="24"/>
          <w:szCs w:val="24"/>
          <w:highlight w:val="none"/>
          <w:lang w:val="zh-CN" w:eastAsia="zh-CN"/>
        </w:rPr>
        <w:t>乙方：</w:t>
      </w:r>
      <w:r>
        <w:rPr>
          <w:rFonts w:hint="eastAsia" w:ascii="宋体" w:hAnsi="宋体" w:eastAsia="宋体" w:cs="宋体"/>
          <w:b/>
          <w:bCs/>
          <w:sz w:val="24"/>
          <w:szCs w:val="24"/>
          <w:highlight w:val="none"/>
          <w:u w:val="single"/>
          <w:lang w:val="zh-CN" w:eastAsia="zh-CN"/>
        </w:rPr>
        <w:t xml:space="preserve">                         </w:t>
      </w:r>
    </w:p>
    <w:p w14:paraId="369A7066">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根据《中华人民共和国民法典》及相关法律法规，甲、乙双方就乙方承建</w:t>
      </w:r>
      <w:r>
        <w:rPr>
          <w:rFonts w:hint="eastAsia" w:ascii="宋体" w:hAnsi="宋体" w:eastAsia="宋体" w:cs="宋体"/>
          <w:sz w:val="24"/>
          <w:szCs w:val="24"/>
          <w:highlight w:val="none"/>
          <w:u w:val="single"/>
          <w:lang w:eastAsia="zh-CN"/>
        </w:rPr>
        <w:t>陕西省公安厅购置居民身份证制证专用自动预定位封装机设备项目</w:t>
      </w:r>
      <w:r>
        <w:rPr>
          <w:rFonts w:hint="eastAsia" w:ascii="宋体" w:hAnsi="宋体" w:eastAsia="宋体" w:cs="宋体"/>
          <w:sz w:val="24"/>
          <w:szCs w:val="24"/>
          <w:highlight w:val="none"/>
          <w:lang w:eastAsia="zh-CN"/>
        </w:rPr>
        <w:t>事宜，经协商一致，达成如下协议：</w:t>
      </w:r>
    </w:p>
    <w:p w14:paraId="4258297F">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第一条 项目名称及内容</w:t>
      </w:r>
    </w:p>
    <w:p w14:paraId="5BB98272">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陕西省公安厅购置居民身份证制证专用自动预定位封装机设备项目，包含全自动预定位封装机设备，</w:t>
      </w:r>
      <w:r>
        <w:rPr>
          <w:rFonts w:hint="eastAsia" w:ascii="宋体" w:hAnsi="宋体" w:eastAsia="宋体" w:cs="宋体"/>
          <w:sz w:val="24"/>
          <w:szCs w:val="24"/>
          <w:highlight w:val="none"/>
          <w:lang w:eastAsia="zh-CN"/>
        </w:rPr>
        <w:t>具体详见投标文件。</w:t>
      </w:r>
    </w:p>
    <w:p w14:paraId="2A2417EE">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 xml:space="preserve">第二条 </w:t>
      </w:r>
      <w:r>
        <w:rPr>
          <w:rFonts w:hint="eastAsia" w:ascii="宋体" w:hAnsi="宋体" w:eastAsia="宋体" w:cs="宋体"/>
          <w:b/>
          <w:sz w:val="24"/>
          <w:szCs w:val="24"/>
          <w:highlight w:val="none"/>
          <w:lang w:val="en-US" w:eastAsia="zh-CN"/>
        </w:rPr>
        <w:t>质量标准</w:t>
      </w:r>
    </w:p>
    <w:p w14:paraId="51F383A3">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满足国家及行业现行技术标准、规范要求。</w:t>
      </w:r>
    </w:p>
    <w:p w14:paraId="6AA82CAE">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第三条 知识产权</w:t>
      </w:r>
    </w:p>
    <w:p w14:paraId="00745260">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1甲方对乙方交付的、本合同项目正常运行和维护所需的各个部分拥有全部使用权和开发性知识产权。未事先获得甲方书面许可，任何人不得擅自使用。</w:t>
      </w:r>
    </w:p>
    <w:p w14:paraId="426FF2A4">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2乙方保证最终提供给甲方的本合同项目整体不得包含任何第三方的知识产权或引起任何第三方基于该产品知识产权的指控。</w:t>
      </w:r>
    </w:p>
    <w:p w14:paraId="2F5D3115">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3如第三方指控乙方或甲方侵犯了该方相关知识产权，乙方将自费就上述指控为甲方辩护，并支付诉讼或经甲方同意的和解中甲方发生的一切费用以及损害赔偿金、损失和律师费。对甲方因该纠纷产生的相应损失，乙方应当予以赔偿。</w:t>
      </w:r>
    </w:p>
    <w:p w14:paraId="3AD13D8F">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4本合同条款的规定不因本合同的到期而失效。</w:t>
      </w:r>
    </w:p>
    <w:p w14:paraId="157C5F2B">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第四条 供货及验收</w:t>
      </w:r>
    </w:p>
    <w:p w14:paraId="4C7909FF">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4.1交付期</w:t>
      </w:r>
      <w:r>
        <w:rPr>
          <w:rFonts w:hint="eastAsia" w:ascii="宋体" w:hAnsi="宋体" w:eastAsia="宋体" w:cs="宋体"/>
          <w:b w:val="0"/>
          <w:bCs/>
          <w:sz w:val="24"/>
          <w:szCs w:val="24"/>
          <w:highlight w:val="none"/>
          <w:lang w:eastAsia="zh-CN"/>
        </w:rPr>
        <w:t>：自合同签订之日起</w:t>
      </w:r>
      <w:r>
        <w:rPr>
          <w:rFonts w:hint="eastAsia" w:ascii="宋体" w:hAnsi="宋体" w:eastAsia="宋体" w:cs="宋体"/>
          <w:b w:val="0"/>
          <w:bCs/>
          <w:sz w:val="24"/>
          <w:szCs w:val="24"/>
          <w:highlight w:val="none"/>
          <w:lang w:val="en-US" w:eastAsia="zh-CN"/>
        </w:rPr>
        <w:t xml:space="preserve">   </w:t>
      </w:r>
      <w:r>
        <w:rPr>
          <w:rFonts w:hint="eastAsia" w:ascii="宋体" w:hAnsi="宋体" w:eastAsia="宋体" w:cs="宋体"/>
          <w:b w:val="0"/>
          <w:bCs/>
          <w:sz w:val="24"/>
          <w:szCs w:val="24"/>
          <w:highlight w:val="none"/>
          <w:lang w:eastAsia="zh-CN"/>
        </w:rPr>
        <w:t>日历日</w:t>
      </w:r>
    </w:p>
    <w:p w14:paraId="0A270BE0">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u w:val="none"/>
          <w:lang w:val="en-US" w:eastAsia="zh-CN"/>
        </w:rPr>
      </w:pPr>
      <w:r>
        <w:rPr>
          <w:rFonts w:hint="eastAsia" w:ascii="宋体" w:hAnsi="宋体" w:eastAsia="宋体" w:cs="宋体"/>
          <w:b w:val="0"/>
          <w:bCs/>
          <w:sz w:val="24"/>
          <w:szCs w:val="24"/>
          <w:highlight w:val="none"/>
          <w:lang w:val="en-US" w:eastAsia="zh-CN"/>
        </w:rPr>
        <w:t>4.2交货</w:t>
      </w:r>
      <w:r>
        <w:rPr>
          <w:rFonts w:hint="eastAsia" w:ascii="宋体" w:hAnsi="宋体" w:eastAsia="宋体" w:cs="宋体"/>
          <w:b w:val="0"/>
          <w:bCs/>
          <w:sz w:val="24"/>
          <w:szCs w:val="24"/>
          <w:highlight w:val="none"/>
          <w:lang w:eastAsia="zh-CN"/>
        </w:rPr>
        <w:t>地点：甲方指定地点</w:t>
      </w:r>
    </w:p>
    <w:p w14:paraId="130B39BF">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4.3质保期：</w:t>
      </w:r>
    </w:p>
    <w:p w14:paraId="3AB8863B">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sz w:val="24"/>
          <w:szCs w:val="24"/>
          <w:highlight w:val="none"/>
          <w:lang w:val="en-US" w:eastAsia="zh-CN"/>
        </w:rPr>
        <w:t>4.4</w:t>
      </w:r>
      <w:r>
        <w:rPr>
          <w:rFonts w:hint="eastAsia" w:ascii="宋体" w:hAnsi="宋体" w:eastAsia="宋体" w:cs="宋体"/>
          <w:sz w:val="24"/>
          <w:szCs w:val="24"/>
          <w:highlight w:val="none"/>
          <w:lang w:eastAsia="zh-CN"/>
        </w:rPr>
        <w:t>供货清单（</w:t>
      </w:r>
      <w:r>
        <w:rPr>
          <w:rFonts w:hint="eastAsia" w:ascii="宋体" w:hAnsi="宋体" w:eastAsia="宋体" w:cs="宋体"/>
          <w:sz w:val="24"/>
          <w:szCs w:val="24"/>
          <w:highlight w:val="none"/>
        </w:rPr>
        <w:t>乙方保证所供</w:t>
      </w:r>
      <w:r>
        <w:rPr>
          <w:rFonts w:hint="eastAsia" w:ascii="宋体" w:hAnsi="宋体" w:eastAsia="宋体" w:cs="宋体"/>
          <w:sz w:val="24"/>
          <w:szCs w:val="24"/>
          <w:highlight w:val="none"/>
          <w:lang w:eastAsia="zh-CN"/>
        </w:rPr>
        <w:t>产品</w:t>
      </w:r>
      <w:r>
        <w:rPr>
          <w:rFonts w:hint="eastAsia" w:ascii="宋体" w:hAnsi="宋体" w:eastAsia="宋体" w:cs="宋体"/>
          <w:sz w:val="24"/>
          <w:szCs w:val="24"/>
          <w:highlight w:val="none"/>
        </w:rPr>
        <w:t>与</w:t>
      </w:r>
      <w:r>
        <w:rPr>
          <w:rFonts w:hint="eastAsia" w:ascii="宋体" w:hAnsi="宋体" w:eastAsia="宋体" w:cs="宋体"/>
          <w:sz w:val="24"/>
          <w:szCs w:val="24"/>
          <w:highlight w:val="none"/>
          <w:lang w:eastAsia="zh-CN"/>
        </w:rPr>
        <w:t>投标</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eastAsia="zh-CN"/>
        </w:rPr>
        <w:t>中所投产品</w:t>
      </w:r>
      <w:r>
        <w:rPr>
          <w:rFonts w:hint="eastAsia" w:ascii="宋体" w:hAnsi="宋体" w:eastAsia="宋体" w:cs="宋体"/>
          <w:sz w:val="24"/>
          <w:szCs w:val="24"/>
          <w:highlight w:val="none"/>
        </w:rPr>
        <w:t>一致</w:t>
      </w:r>
      <w:r>
        <w:rPr>
          <w:rFonts w:hint="eastAsia" w:ascii="宋体" w:hAnsi="宋体" w:eastAsia="宋体" w:cs="宋体"/>
          <w:sz w:val="24"/>
          <w:szCs w:val="24"/>
          <w:highlight w:val="none"/>
          <w:lang w:eastAsia="zh-CN"/>
        </w:rPr>
        <w:t>）：</w:t>
      </w:r>
    </w:p>
    <w:tbl>
      <w:tblPr>
        <w:tblStyle w:val="8"/>
        <w:tblW w:w="498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679"/>
        <w:gridCol w:w="1768"/>
        <w:gridCol w:w="1645"/>
        <w:gridCol w:w="804"/>
        <w:gridCol w:w="814"/>
        <w:gridCol w:w="1290"/>
        <w:gridCol w:w="1216"/>
      </w:tblGrid>
      <w:tr w14:paraId="7E51A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5" w:type="pct"/>
            <w:noWrap w:val="0"/>
            <w:vAlign w:val="center"/>
          </w:tcPr>
          <w:p w14:paraId="473EF2E0">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pacing w:val="-20"/>
                <w:sz w:val="24"/>
                <w:szCs w:val="24"/>
                <w:highlight w:val="none"/>
              </w:rPr>
              <w:t>序号</w:t>
            </w:r>
          </w:p>
        </w:tc>
        <w:tc>
          <w:tcPr>
            <w:tcW w:w="846" w:type="pct"/>
            <w:noWrap w:val="0"/>
            <w:vAlign w:val="center"/>
          </w:tcPr>
          <w:p w14:paraId="37EE30E1">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产品名称</w:t>
            </w:r>
          </w:p>
        </w:tc>
        <w:tc>
          <w:tcPr>
            <w:tcW w:w="891" w:type="pct"/>
            <w:noWrap w:val="0"/>
            <w:vAlign w:val="center"/>
          </w:tcPr>
          <w:p w14:paraId="18C3C076">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829" w:type="pct"/>
            <w:noWrap w:val="0"/>
            <w:vAlign w:val="center"/>
          </w:tcPr>
          <w:p w14:paraId="2AE663A4">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pacing w:val="-20"/>
                <w:sz w:val="24"/>
                <w:szCs w:val="24"/>
                <w:highlight w:val="none"/>
              </w:rPr>
            </w:pPr>
            <w:r>
              <w:rPr>
                <w:rFonts w:hint="eastAsia" w:ascii="宋体" w:hAnsi="宋体" w:eastAsia="宋体" w:cs="宋体"/>
                <w:color w:val="auto"/>
                <w:sz w:val="24"/>
                <w:szCs w:val="24"/>
                <w:highlight w:val="none"/>
              </w:rPr>
              <w:t>规格型号</w:t>
            </w:r>
          </w:p>
        </w:tc>
        <w:tc>
          <w:tcPr>
            <w:tcW w:w="405" w:type="pct"/>
            <w:noWrap w:val="0"/>
            <w:vAlign w:val="center"/>
          </w:tcPr>
          <w:p w14:paraId="48A53F3E">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410" w:type="pct"/>
            <w:noWrap w:val="0"/>
            <w:vAlign w:val="center"/>
          </w:tcPr>
          <w:p w14:paraId="5B0788ED">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650" w:type="pct"/>
            <w:noWrap w:val="0"/>
            <w:vAlign w:val="center"/>
          </w:tcPr>
          <w:p w14:paraId="380253CC">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611" w:type="pct"/>
            <w:noWrap w:val="0"/>
            <w:vAlign w:val="center"/>
          </w:tcPr>
          <w:p w14:paraId="796A5545">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合计(元)</w:t>
            </w:r>
          </w:p>
        </w:tc>
      </w:tr>
      <w:tr w14:paraId="1006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5" w:type="pct"/>
            <w:noWrap w:val="0"/>
            <w:vAlign w:val="center"/>
          </w:tcPr>
          <w:p w14:paraId="79A3B137">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846" w:type="pct"/>
            <w:noWrap w:val="0"/>
            <w:vAlign w:val="center"/>
          </w:tcPr>
          <w:p w14:paraId="0AE3F161">
            <w:pPr>
              <w:keepNext w:val="0"/>
              <w:keepLines w:val="0"/>
              <w:pageBreakBefore w:val="0"/>
              <w:widowControl/>
              <w:kinsoku/>
              <w:wordWrap/>
              <w:overflowPunct/>
              <w:topLinePunct w:val="0"/>
              <w:autoSpaceDE/>
              <w:autoSpaceDN/>
              <w:bidi w:val="0"/>
              <w:adjustRightInd/>
              <w:snapToGrid/>
              <w:spacing w:line="312" w:lineRule="auto"/>
              <w:ind w:firstLine="0" w:firstLineChars="0"/>
              <w:jc w:val="center"/>
              <w:textAlignment w:val="auto"/>
              <w:rPr>
                <w:rFonts w:hint="eastAsia" w:ascii="宋体" w:hAnsi="宋体" w:eastAsia="宋体" w:cs="宋体"/>
                <w:spacing w:val="0"/>
                <w:sz w:val="24"/>
                <w:szCs w:val="24"/>
                <w:highlight w:val="none"/>
                <w:vertAlign w:val="baseline"/>
                <w:lang w:val="en-US" w:eastAsia="zh-CN" w:bidi="ar-SA"/>
              </w:rPr>
            </w:pPr>
          </w:p>
        </w:tc>
        <w:tc>
          <w:tcPr>
            <w:tcW w:w="891" w:type="pct"/>
            <w:noWrap w:val="0"/>
            <w:vAlign w:val="center"/>
          </w:tcPr>
          <w:p w14:paraId="45E7F9D9">
            <w:pPr>
              <w:keepNext w:val="0"/>
              <w:keepLines w:val="0"/>
              <w:pageBreakBefore w:val="0"/>
              <w:widowControl/>
              <w:kinsoku/>
              <w:wordWrap/>
              <w:overflowPunct/>
              <w:topLinePunct w:val="0"/>
              <w:autoSpaceDE/>
              <w:autoSpaceDN/>
              <w:bidi w:val="0"/>
              <w:adjustRightInd/>
              <w:snapToGrid/>
              <w:spacing w:line="312" w:lineRule="auto"/>
              <w:ind w:firstLine="0" w:firstLineChars="0"/>
              <w:jc w:val="center"/>
              <w:textAlignment w:val="auto"/>
              <w:rPr>
                <w:rFonts w:hint="eastAsia" w:ascii="宋体" w:hAnsi="宋体" w:eastAsia="宋体" w:cs="宋体"/>
                <w:color w:val="auto"/>
                <w:sz w:val="24"/>
                <w:szCs w:val="24"/>
                <w:highlight w:val="none"/>
              </w:rPr>
            </w:pPr>
          </w:p>
        </w:tc>
        <w:tc>
          <w:tcPr>
            <w:tcW w:w="829" w:type="pct"/>
            <w:noWrap w:val="0"/>
            <w:vAlign w:val="center"/>
          </w:tcPr>
          <w:p w14:paraId="6AB6C03C">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405" w:type="pct"/>
            <w:noWrap w:val="0"/>
            <w:vAlign w:val="center"/>
          </w:tcPr>
          <w:p w14:paraId="526AD28D">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lang w:eastAsia="zh-CN"/>
              </w:rPr>
            </w:pPr>
          </w:p>
        </w:tc>
        <w:tc>
          <w:tcPr>
            <w:tcW w:w="410" w:type="pct"/>
            <w:noWrap w:val="0"/>
            <w:vAlign w:val="center"/>
          </w:tcPr>
          <w:p w14:paraId="7C2515A1">
            <w:pPr>
              <w:keepNext w:val="0"/>
              <w:keepLines w:val="0"/>
              <w:pageBreakBefore w:val="0"/>
              <w:widowControl/>
              <w:kinsoku/>
              <w:wordWrap/>
              <w:overflowPunct/>
              <w:topLinePunct w:val="0"/>
              <w:autoSpaceDE/>
              <w:autoSpaceDN/>
              <w:bidi w:val="0"/>
              <w:adjustRightInd/>
              <w:snapToGrid/>
              <w:spacing w:line="312" w:lineRule="auto"/>
              <w:ind w:firstLine="0" w:firstLineChars="0"/>
              <w:jc w:val="center"/>
              <w:textAlignment w:val="auto"/>
              <w:rPr>
                <w:rFonts w:hint="eastAsia" w:ascii="宋体" w:hAnsi="宋体" w:eastAsia="宋体" w:cs="宋体"/>
                <w:snapToGrid w:val="0"/>
                <w:color w:val="auto"/>
                <w:kern w:val="0"/>
                <w:sz w:val="24"/>
                <w:szCs w:val="24"/>
                <w:highlight w:val="none"/>
                <w:lang w:val="en-US" w:eastAsia="en-US" w:bidi="ar-SA"/>
              </w:rPr>
            </w:pPr>
          </w:p>
        </w:tc>
        <w:tc>
          <w:tcPr>
            <w:tcW w:w="650" w:type="pct"/>
            <w:noWrap w:val="0"/>
            <w:vAlign w:val="center"/>
          </w:tcPr>
          <w:p w14:paraId="616875EB">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611" w:type="pct"/>
            <w:noWrap w:val="0"/>
            <w:vAlign w:val="center"/>
          </w:tcPr>
          <w:p w14:paraId="3AD1A283">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pacing w:val="-6"/>
                <w:sz w:val="24"/>
                <w:szCs w:val="24"/>
                <w:highlight w:val="none"/>
              </w:rPr>
            </w:pPr>
          </w:p>
        </w:tc>
      </w:tr>
      <w:tr w14:paraId="72EAD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5" w:type="pct"/>
            <w:noWrap w:val="0"/>
            <w:vAlign w:val="center"/>
          </w:tcPr>
          <w:p w14:paraId="3E0B79CF">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846" w:type="pct"/>
            <w:noWrap w:val="0"/>
            <w:vAlign w:val="center"/>
          </w:tcPr>
          <w:p w14:paraId="7221BB2E">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spacing w:val="0"/>
                <w:sz w:val="24"/>
                <w:szCs w:val="24"/>
                <w:highlight w:val="none"/>
                <w:vertAlign w:val="baseline"/>
                <w:lang w:val="en-US" w:eastAsia="zh-CN" w:bidi="ar-SA"/>
              </w:rPr>
            </w:pPr>
          </w:p>
        </w:tc>
        <w:tc>
          <w:tcPr>
            <w:tcW w:w="891" w:type="pct"/>
            <w:noWrap w:val="0"/>
            <w:vAlign w:val="center"/>
          </w:tcPr>
          <w:p w14:paraId="1F11874A">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829" w:type="pct"/>
            <w:noWrap w:val="0"/>
            <w:vAlign w:val="center"/>
          </w:tcPr>
          <w:p w14:paraId="37753CB7">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405" w:type="pct"/>
            <w:noWrap w:val="0"/>
            <w:vAlign w:val="center"/>
          </w:tcPr>
          <w:p w14:paraId="00A6A58E">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410" w:type="pct"/>
            <w:noWrap w:val="0"/>
            <w:vAlign w:val="center"/>
          </w:tcPr>
          <w:p w14:paraId="0C150206">
            <w:pPr>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snapToGrid w:val="0"/>
                <w:color w:val="auto"/>
                <w:kern w:val="0"/>
                <w:sz w:val="24"/>
                <w:szCs w:val="24"/>
                <w:highlight w:val="none"/>
                <w:lang w:val="en-US" w:eastAsia="en-US" w:bidi="ar-SA"/>
              </w:rPr>
            </w:pPr>
          </w:p>
        </w:tc>
        <w:tc>
          <w:tcPr>
            <w:tcW w:w="650" w:type="pct"/>
            <w:noWrap w:val="0"/>
            <w:vAlign w:val="center"/>
          </w:tcPr>
          <w:p w14:paraId="1F5A8315">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z w:val="24"/>
                <w:szCs w:val="24"/>
                <w:highlight w:val="none"/>
              </w:rPr>
            </w:pPr>
          </w:p>
        </w:tc>
        <w:tc>
          <w:tcPr>
            <w:tcW w:w="611" w:type="pct"/>
            <w:noWrap w:val="0"/>
            <w:vAlign w:val="center"/>
          </w:tcPr>
          <w:p w14:paraId="135D69F1">
            <w:pPr>
              <w:pStyle w:val="4"/>
              <w:keepNext w:val="0"/>
              <w:keepLines w:val="0"/>
              <w:pageBreakBefore w:val="0"/>
              <w:widowControl/>
              <w:wordWrap/>
              <w:overflowPunct/>
              <w:topLinePunct w:val="0"/>
              <w:bidi w:val="0"/>
              <w:adjustRightInd/>
              <w:snapToGrid/>
              <w:spacing w:line="312" w:lineRule="auto"/>
              <w:ind w:firstLine="0" w:firstLineChars="0"/>
              <w:jc w:val="center"/>
              <w:rPr>
                <w:rFonts w:hint="eastAsia" w:ascii="宋体" w:hAnsi="宋体" w:eastAsia="宋体" w:cs="宋体"/>
                <w:color w:val="auto"/>
                <w:spacing w:val="-6"/>
                <w:sz w:val="24"/>
                <w:szCs w:val="24"/>
                <w:highlight w:val="none"/>
              </w:rPr>
            </w:pPr>
          </w:p>
        </w:tc>
      </w:tr>
      <w:tr w14:paraId="0D7AF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355" w:type="pct"/>
            <w:tcBorders>
              <w:top w:val="single" w:color="auto" w:sz="4" w:space="0"/>
              <w:left w:val="single" w:color="auto" w:sz="4" w:space="0"/>
              <w:bottom w:val="single" w:color="auto" w:sz="4" w:space="0"/>
              <w:right w:val="single" w:color="auto" w:sz="4" w:space="0"/>
            </w:tcBorders>
            <w:noWrap w:val="0"/>
            <w:vAlign w:val="center"/>
          </w:tcPr>
          <w:p w14:paraId="026050E0">
            <w:pPr>
              <w:pStyle w:val="12"/>
              <w:keepNext w:val="0"/>
              <w:keepLines w:val="0"/>
              <w:pageBreakBefore w:val="0"/>
              <w:widowControl/>
              <w:kinsoku w:val="0"/>
              <w:wordWrap/>
              <w:overflowPunct/>
              <w:topLinePunct w:val="0"/>
              <w:autoSpaceDE w:val="0"/>
              <w:autoSpaceDN w:val="0"/>
              <w:bidi w:val="0"/>
              <w:adjustRightInd/>
              <w:snapToGrid/>
              <w:spacing w:line="312" w:lineRule="auto"/>
              <w:ind w:left="0" w:leftChars="0"/>
              <w:jc w:val="center"/>
              <w:textAlignment w:val="baseline"/>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合同总额</w:t>
            </w:r>
          </w:p>
        </w:tc>
        <w:tc>
          <w:tcPr>
            <w:tcW w:w="4644" w:type="pct"/>
            <w:gridSpan w:val="7"/>
            <w:tcBorders>
              <w:top w:val="single" w:color="auto" w:sz="4" w:space="0"/>
              <w:left w:val="single" w:color="auto" w:sz="4" w:space="0"/>
              <w:bottom w:val="single" w:color="auto" w:sz="4" w:space="0"/>
              <w:right w:val="single" w:color="auto" w:sz="4" w:space="0"/>
            </w:tcBorders>
            <w:noWrap w:val="0"/>
            <w:vAlign w:val="center"/>
          </w:tcPr>
          <w:p w14:paraId="09359B7C">
            <w:pPr>
              <w:pStyle w:val="12"/>
              <w:keepNext w:val="0"/>
              <w:keepLines w:val="0"/>
              <w:pageBreakBefore w:val="0"/>
              <w:widowControl/>
              <w:kinsoku w:val="0"/>
              <w:wordWrap/>
              <w:overflowPunct/>
              <w:topLinePunct w:val="0"/>
              <w:autoSpaceDE w:val="0"/>
              <w:autoSpaceDN w:val="0"/>
              <w:bidi w:val="0"/>
              <w:adjustRightInd/>
              <w:snapToGrid/>
              <w:spacing w:line="312" w:lineRule="auto"/>
              <w:ind w:left="0" w:leftChars="0"/>
              <w:jc w:val="left"/>
              <w:textAlignment w:val="baseline"/>
              <w:rPr>
                <w:rFonts w:hint="eastAsia" w:ascii="宋体" w:hAnsi="宋体" w:eastAsia="宋体" w:cs="宋体"/>
                <w:color w:val="auto"/>
                <w:spacing w:val="-6"/>
                <w:sz w:val="24"/>
                <w:szCs w:val="24"/>
                <w:highlight w:val="none"/>
                <w:lang w:val="en-US" w:eastAsia="zh-CN"/>
              </w:rPr>
            </w:pPr>
            <w:r>
              <w:rPr>
                <w:rFonts w:hint="eastAsia" w:ascii="宋体" w:hAnsi="宋体" w:eastAsia="宋体" w:cs="宋体"/>
                <w:sz w:val="24"/>
                <w:szCs w:val="24"/>
                <w:highlight w:val="none"/>
              </w:rPr>
              <w:t>小写：           元，大写：人民币</w:t>
            </w:r>
            <w:r>
              <w:rPr>
                <w:rFonts w:hint="eastAsia" w:ascii="宋体" w:hAnsi="宋体" w:eastAsia="宋体" w:cs="宋体"/>
                <w:sz w:val="24"/>
                <w:szCs w:val="24"/>
                <w:highlight w:val="none"/>
                <w:lang w:val="en-US" w:eastAsia="zh-CN"/>
              </w:rPr>
              <w:t xml:space="preserve">                       </w:t>
            </w:r>
          </w:p>
        </w:tc>
      </w:tr>
    </w:tbl>
    <w:p w14:paraId="1814B2E8">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乙方提供的产品性能及质量有国家标准的应符合国家标准，无国家标准的应符合行业标准或企业标准，并满足甲方要求；</w:t>
      </w:r>
    </w:p>
    <w:p w14:paraId="7056FDF1">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4.5验收:于乙方提出验收申请之日起30日内组织验收，乙方需提供合格证发票或本省供货渠道证明等有效质量证明材料。如发现货物的规格,数量,质量有任何问题，乙方需无条件更换，并承担一切责任。所有产品验收以招标文件技术要求为准逐条进行验收，不符合者则验收不予通过。乙方向甲方提供项目履约过程中的所有资料,以便甲方日后管理和维护。</w:t>
      </w:r>
    </w:p>
    <w:p w14:paraId="27AC7623">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4.6验收依据招标文件、投标文件、澄清表（如有）；本合同及附件文本；国家相应的标准、规范。</w:t>
      </w:r>
    </w:p>
    <w:p w14:paraId="56733D86">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第五条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lang w:eastAsia="zh-CN"/>
        </w:rPr>
        <w:t>运输要求：</w:t>
      </w:r>
    </w:p>
    <w:p w14:paraId="233583FF">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lang w:eastAsia="zh-CN"/>
        </w:rPr>
        <w:t>1</w:t>
      </w:r>
      <w:r>
        <w:rPr>
          <w:rFonts w:hint="eastAsia" w:ascii="宋体" w:hAnsi="宋体" w:eastAsia="宋体" w:cs="宋体"/>
          <w:b w:val="0"/>
          <w:bCs/>
          <w:sz w:val="24"/>
          <w:szCs w:val="24"/>
          <w:highlight w:val="none"/>
          <w:lang w:val="en-US" w:eastAsia="zh-CN"/>
        </w:rPr>
        <w:t>乙方</w:t>
      </w:r>
      <w:r>
        <w:rPr>
          <w:rFonts w:hint="eastAsia" w:ascii="宋体" w:hAnsi="宋体" w:eastAsia="宋体" w:cs="宋体"/>
          <w:b w:val="0"/>
          <w:bCs/>
          <w:sz w:val="24"/>
          <w:szCs w:val="24"/>
          <w:highlight w:val="none"/>
          <w:lang w:eastAsia="zh-CN"/>
        </w:rPr>
        <w:t>根据产品特性，自行选择运输及包装方式，承担一切运输费用，包括但不限于货物运输所含的运输费、装卸费、仓储费、保险费等。</w:t>
      </w:r>
    </w:p>
    <w:p w14:paraId="3C230D7A">
      <w:pPr>
        <w:pStyle w:val="11"/>
        <w:keepNext w:val="0"/>
        <w:keepLines w:val="0"/>
        <w:pageBreakBefore w:val="0"/>
        <w:wordWrap/>
        <w:overflowPunct/>
        <w:topLinePunct w:val="0"/>
        <w:bidi w:val="0"/>
        <w:spacing w:line="312" w:lineRule="auto"/>
        <w:ind w:firstLine="482"/>
        <w:rPr>
          <w:rFonts w:hint="eastAsia" w:ascii="宋体" w:hAnsi="宋体" w:eastAsia="宋体" w:cs="宋体"/>
          <w:b w:val="0"/>
          <w:bCs/>
          <w:sz w:val="24"/>
          <w:szCs w:val="24"/>
          <w:highlight w:val="none"/>
          <w:lang w:eastAsia="zh-CN"/>
        </w:rPr>
      </w:pPr>
      <w:r>
        <w:rPr>
          <w:rFonts w:hint="eastAsia" w:ascii="宋体" w:hAnsi="宋体" w:eastAsia="宋体" w:cs="宋体"/>
          <w:b w:val="0"/>
          <w:bCs/>
          <w:sz w:val="24"/>
          <w:szCs w:val="24"/>
          <w:highlight w:val="none"/>
          <w:lang w:val="en-US" w:eastAsia="zh-CN"/>
        </w:rPr>
        <w:t>5.</w:t>
      </w:r>
      <w:r>
        <w:rPr>
          <w:rFonts w:hint="eastAsia" w:ascii="宋体" w:hAnsi="宋体" w:eastAsia="宋体" w:cs="宋体"/>
          <w:b w:val="0"/>
          <w:bCs/>
          <w:sz w:val="24"/>
          <w:szCs w:val="24"/>
          <w:highlight w:val="none"/>
          <w:lang w:eastAsia="zh-CN"/>
        </w:rPr>
        <w:t>2乙方保证货物安全、按期运送到达甲方指定交货地点，在交付甲方前发生的不可预见的风险均由乙方承担。</w:t>
      </w:r>
    </w:p>
    <w:p w14:paraId="19D54839">
      <w:pPr>
        <w:pStyle w:val="11"/>
        <w:keepNext w:val="0"/>
        <w:keepLines w:val="0"/>
        <w:pageBreakBefore w:val="0"/>
        <w:wordWrap/>
        <w:overflowPunct/>
        <w:topLinePunct w:val="0"/>
        <w:bidi w:val="0"/>
        <w:spacing w:line="312" w:lineRule="auto"/>
        <w:ind w:firstLine="48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第六条 风险承担</w:t>
      </w:r>
    </w:p>
    <w:p w14:paraId="4AD899EF">
      <w:pPr>
        <w:pStyle w:val="11"/>
        <w:keepNext w:val="0"/>
        <w:keepLines w:val="0"/>
        <w:pageBreakBefore w:val="0"/>
        <w:wordWrap/>
        <w:overflowPunct/>
        <w:topLinePunct w:val="0"/>
        <w:bidi w:val="0"/>
        <w:spacing w:line="312" w:lineRule="auto"/>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交付前毁灭损失的风险由乙方承担，验收完成后毁灭损失的风险由甲方承担。</w:t>
      </w:r>
    </w:p>
    <w:p w14:paraId="776C3C8D">
      <w:pPr>
        <w:pStyle w:val="11"/>
        <w:keepNext w:val="0"/>
        <w:keepLines w:val="0"/>
        <w:pageBreakBefore w:val="0"/>
        <w:wordWrap/>
        <w:overflowPunct/>
        <w:topLinePunct w:val="0"/>
        <w:bidi w:val="0"/>
        <w:spacing w:line="312" w:lineRule="auto"/>
        <w:ind w:firstLine="480"/>
        <w:rPr>
          <w:rFonts w:hint="eastAsia" w:ascii="宋体" w:hAnsi="宋体" w:eastAsia="宋体" w:cs="宋体"/>
          <w:b w:val="0"/>
          <w:bCs w:val="0"/>
          <w:sz w:val="24"/>
          <w:szCs w:val="24"/>
          <w:highlight w:val="none"/>
          <w:u w:val="singl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color w:val="auto"/>
          <w:sz w:val="24"/>
          <w:szCs w:val="24"/>
          <w:highlight w:val="none"/>
        </w:rPr>
        <w:t>乙方人员</w:t>
      </w:r>
      <w:r>
        <w:rPr>
          <w:rFonts w:hint="eastAsia" w:ascii="宋体" w:hAnsi="宋体" w:eastAsia="宋体" w:cs="宋体"/>
          <w:b w:val="0"/>
          <w:bCs w:val="0"/>
          <w:color w:val="auto"/>
          <w:sz w:val="24"/>
          <w:szCs w:val="24"/>
          <w:highlight w:val="none"/>
          <w:lang w:eastAsia="zh-CN"/>
        </w:rPr>
        <w:t>在</w:t>
      </w:r>
      <w:r>
        <w:rPr>
          <w:rFonts w:hint="eastAsia" w:ascii="宋体" w:hAnsi="宋体" w:eastAsia="宋体" w:cs="宋体"/>
          <w:b w:val="0"/>
          <w:bCs w:val="0"/>
          <w:color w:val="auto"/>
          <w:sz w:val="24"/>
          <w:szCs w:val="24"/>
          <w:highlight w:val="none"/>
        </w:rPr>
        <w:t>服务期</w:t>
      </w:r>
      <w:r>
        <w:rPr>
          <w:rFonts w:hint="eastAsia" w:ascii="宋体" w:hAnsi="宋体" w:eastAsia="宋体" w:cs="宋体"/>
          <w:b w:val="0"/>
          <w:bCs w:val="0"/>
          <w:color w:val="auto"/>
          <w:sz w:val="24"/>
          <w:szCs w:val="24"/>
          <w:highlight w:val="none"/>
          <w:lang w:eastAsia="zh-CN"/>
        </w:rPr>
        <w:t>内</w:t>
      </w:r>
      <w:r>
        <w:rPr>
          <w:rFonts w:hint="eastAsia" w:ascii="宋体" w:hAnsi="宋体" w:eastAsia="宋体" w:cs="宋体"/>
          <w:b w:val="0"/>
          <w:bCs w:val="0"/>
          <w:color w:val="auto"/>
          <w:sz w:val="24"/>
          <w:szCs w:val="24"/>
          <w:highlight w:val="none"/>
        </w:rPr>
        <w:t>发生任何安全问题均与甲方无关，乙方应确保项目人员均购买人身保险</w:t>
      </w:r>
      <w:r>
        <w:rPr>
          <w:rFonts w:hint="eastAsia" w:ascii="宋体" w:hAnsi="宋体" w:eastAsia="宋体" w:cs="宋体"/>
          <w:b w:val="0"/>
          <w:bCs w:val="0"/>
          <w:color w:val="auto"/>
          <w:sz w:val="24"/>
          <w:szCs w:val="24"/>
          <w:highlight w:val="none"/>
          <w:lang w:eastAsia="zh-CN"/>
        </w:rPr>
        <w:t>。</w:t>
      </w:r>
    </w:p>
    <w:p w14:paraId="3B10F14C">
      <w:pPr>
        <w:keepNext w:val="0"/>
        <w:keepLines w:val="0"/>
        <w:pageBreakBefore w:val="0"/>
        <w:widowControl/>
        <w:tabs>
          <w:tab w:val="left" w:pos="426"/>
        </w:tabs>
        <w:wordWrap/>
        <w:overflowPunct/>
        <w:topLinePunct w:val="0"/>
        <w:bidi w:val="0"/>
        <w:adjustRightInd w:val="0"/>
        <w:snapToGrid w:val="0"/>
        <w:spacing w:line="312"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第七条 付款方式及期限</w:t>
      </w:r>
    </w:p>
    <w:p w14:paraId="62C09835">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7.1</w:t>
      </w:r>
      <w:r>
        <w:rPr>
          <w:rFonts w:hint="eastAsia" w:ascii="宋体" w:hAnsi="宋体" w:eastAsia="宋体" w:cs="宋体"/>
          <w:sz w:val="24"/>
          <w:szCs w:val="24"/>
          <w:highlight w:val="none"/>
          <w:lang w:eastAsia="zh-CN"/>
        </w:rPr>
        <w:t>合同总价为固定总价，不受市场价变化的影响。</w:t>
      </w:r>
    </w:p>
    <w:p w14:paraId="10179AEA">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合同总额</w:t>
      </w:r>
      <w:r>
        <w:rPr>
          <w:rFonts w:hint="eastAsia" w:ascii="宋体" w:hAnsi="宋体" w:eastAsia="宋体" w:cs="宋体"/>
          <w:sz w:val="24"/>
          <w:szCs w:val="24"/>
          <w:highlight w:val="none"/>
          <w:u w:val="single"/>
          <w:lang w:eastAsia="zh-CN"/>
        </w:rPr>
        <w:t>人民币小写: ¥         元(大写：        )</w:t>
      </w:r>
      <w:r>
        <w:rPr>
          <w:rFonts w:hint="eastAsia" w:ascii="宋体" w:hAnsi="宋体" w:eastAsia="宋体" w:cs="宋体"/>
          <w:sz w:val="24"/>
          <w:szCs w:val="24"/>
          <w:highlight w:val="none"/>
          <w:lang w:eastAsia="zh-CN"/>
        </w:rPr>
        <w:t>。</w:t>
      </w:r>
    </w:p>
    <w:p w14:paraId="003E4A40">
      <w:pPr>
        <w:keepNext w:val="0"/>
        <w:keepLines w:val="0"/>
        <w:pageBreakBefore w:val="0"/>
        <w:wordWrap/>
        <w:overflowPunct/>
        <w:topLinePunct w:val="0"/>
        <w:autoSpaceDE w:val="0"/>
        <w:autoSpaceDN w:val="0"/>
        <w:bidi w:val="0"/>
        <w:adjustRightInd w:val="0"/>
        <w:snapToGrid w:val="0"/>
        <w:spacing w:line="312" w:lineRule="auto"/>
        <w:ind w:firstLine="480" w:firstLineChars="200"/>
        <w:rPr>
          <w:rFonts w:hint="eastAsia" w:ascii="宋体" w:hAnsi="宋体" w:eastAsia="宋体" w:cs="宋体"/>
          <w:b w:val="0"/>
          <w:bCs/>
          <w:color w:val="auto"/>
          <w:sz w:val="24"/>
          <w:szCs w:val="24"/>
          <w:highlight w:val="none"/>
          <w:lang w:val="en-US"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3合同签订后，乙方应向甲方出具书面付款通知（注明开户行及账户信息）以及符合国家财税规定的增值税发票，达到付款条件起15日内，支付合同总金额的40.00%。项目交付完成并验收合格后，乙方应向甲方出具书面付款通知（注明开户行及账户信息）以及符合国家财税规定的增值税发票，达到付款条件起15日内，</w:t>
      </w:r>
      <w:r>
        <w:rPr>
          <w:rFonts w:hint="eastAsia" w:ascii="宋体" w:hAnsi="宋体" w:eastAsia="宋体" w:cs="宋体"/>
          <w:bCs/>
          <w:color w:val="auto"/>
          <w:kern w:val="0"/>
          <w:sz w:val="24"/>
          <w:szCs w:val="24"/>
          <w:highlight w:val="none"/>
          <w:lang w:val="en-US" w:eastAsia="zh-CN"/>
        </w:rPr>
        <w:t>支付至结算审计金额的100%。</w:t>
      </w:r>
      <w:r>
        <w:rPr>
          <w:rFonts w:hint="eastAsia" w:ascii="宋体" w:hAnsi="宋体" w:eastAsia="宋体" w:cs="宋体"/>
          <w:sz w:val="24"/>
          <w:szCs w:val="24"/>
          <w:highlight w:val="none"/>
          <w:lang w:val="en-US" w:eastAsia="zh-CN"/>
        </w:rPr>
        <w:t>不可抗力因素除外。</w:t>
      </w:r>
    </w:p>
    <w:p w14:paraId="6CF72758">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结算单位：有关部门验收合格后，乙方凭合同、中标通知书及发票等原件到相关部门办理结算手续。</w:t>
      </w:r>
    </w:p>
    <w:p w14:paraId="2AF239CC">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7.</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乙方开户银行指定账户为：</w:t>
      </w:r>
    </w:p>
    <w:p w14:paraId="634B7C34">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收款人：</w:t>
      </w:r>
    </w:p>
    <w:p w14:paraId="53103FFF">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开户行：</w:t>
      </w:r>
    </w:p>
    <w:p w14:paraId="06DA24B4">
      <w:pPr>
        <w:keepNext w:val="0"/>
        <w:keepLines w:val="0"/>
        <w:pageBreakBefore w:val="0"/>
        <w:widowControl/>
        <w:tabs>
          <w:tab w:val="left" w:pos="426"/>
        </w:tabs>
        <w:wordWrap/>
        <w:overflowPunct/>
        <w:topLinePunct w:val="0"/>
        <w:bidi w:val="0"/>
        <w:adjustRightInd w:val="0"/>
        <w:snapToGrid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p w14:paraId="5E90DC52">
      <w:pPr>
        <w:keepNext w:val="0"/>
        <w:keepLines w:val="0"/>
        <w:pageBreakBefore w:val="0"/>
        <w:wordWrap/>
        <w:overflowPunct/>
        <w:topLinePunct w:val="0"/>
        <w:bidi w:val="0"/>
        <w:spacing w:line="312"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第八条 保密</w:t>
      </w:r>
    </w:p>
    <w:p w14:paraId="709AE724">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lang w:eastAsia="zh-CN"/>
        </w:rPr>
        <w:t>甲乙双方应对在本合同签订或履行过程中所接触的对方信息，包括但不限于知识产权、技术资料、技术诀窍、内部管理及其他相关信息，负有保密责任。</w:t>
      </w:r>
    </w:p>
    <w:p w14:paraId="53BD06E3">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乙方在使用甲方为乙方及其工作人员提供的数据、程序、用户名、口令、资料及甲方相关的业务和技术文档，包括政策、方案设计细节、程序文件、数据结构，以及相关业务系统的硬软件、文档、测试和测试产生的数据时，应遵循以下规定：</w:t>
      </w:r>
    </w:p>
    <w:p w14:paraId="569C6FB9">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lang w:eastAsia="zh-CN"/>
        </w:rPr>
        <w:t>应以审慎态度避免泄露、公开或传播甲方的信息；</w:t>
      </w:r>
    </w:p>
    <w:p w14:paraId="697D7C46">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未经甲方书面许可，不得对有关信息进行修改、补充、复制；</w:t>
      </w:r>
    </w:p>
    <w:p w14:paraId="189954B4">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lang w:eastAsia="zh-CN"/>
        </w:rPr>
        <w:t>未经甲方许可，不得将信息以任何方式(如E－mail)携带出甲方场所；</w:t>
      </w:r>
    </w:p>
    <w:p w14:paraId="7BF5968C">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lang w:eastAsia="zh-CN"/>
        </w:rPr>
        <w:t>未经甲方许可，不得将信息透露给任何其他人；</w:t>
      </w:r>
    </w:p>
    <w:p w14:paraId="54A10010">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lang w:eastAsia="zh-CN"/>
        </w:rPr>
        <w:t>甲方以书面形式提出的其他保密措施。</w:t>
      </w:r>
    </w:p>
    <w:p w14:paraId="7B68D2A2">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3.保密期限不受合同有效期的限制，在合同及质保期结束后，信息接受方仍应承担保密义务，直至该等信息成为公开信息。</w:t>
      </w:r>
    </w:p>
    <w:p w14:paraId="64BED6EA">
      <w:pPr>
        <w:pStyle w:val="11"/>
        <w:keepNext w:val="0"/>
        <w:keepLines w:val="0"/>
        <w:pageBreakBefore w:val="0"/>
        <w:widowControl w:val="0"/>
        <w:kinsoku/>
        <w:wordWrap/>
        <w:overflowPunct/>
        <w:topLinePunct w:val="0"/>
        <w:bidi w:val="0"/>
        <w:spacing w:line="312" w:lineRule="auto"/>
        <w:ind w:firstLine="480" w:firstLineChars="200"/>
        <w:outlineLvl w:val="9"/>
        <w:rPr>
          <w:rFonts w:hint="eastAsia" w:ascii="宋体" w:hAnsi="宋体" w:eastAsia="宋体" w:cs="宋体"/>
          <w:b/>
          <w:sz w:val="24"/>
          <w:szCs w:val="24"/>
          <w:highlight w:val="none"/>
          <w:lang w:eastAsia="zh-CN"/>
        </w:rPr>
      </w:pPr>
      <w:r>
        <w:rPr>
          <w:rFonts w:hint="eastAsia" w:ascii="宋体" w:hAnsi="宋体" w:eastAsia="宋体" w:cs="宋体"/>
          <w:b w:val="0"/>
          <w:bCs w:val="0"/>
          <w:sz w:val="24"/>
          <w:szCs w:val="24"/>
          <w:highlight w:val="none"/>
          <w:lang w:val="en-US" w:eastAsia="zh-CN"/>
        </w:rPr>
        <w:t>4.甲乙双方如出现泄密行为，泄密方应承担相关的法律责任，包括但是不限于对由此给对方造成的经济损失进行赔偿。</w:t>
      </w:r>
    </w:p>
    <w:p w14:paraId="053238C6">
      <w:pPr>
        <w:keepNext w:val="0"/>
        <w:keepLines w:val="0"/>
        <w:pageBreakBefore w:val="0"/>
        <w:wordWrap/>
        <w:overflowPunct/>
        <w:topLinePunct w:val="0"/>
        <w:bidi w:val="0"/>
        <w:spacing w:line="312"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第九条</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sz w:val="24"/>
          <w:szCs w:val="24"/>
          <w:highlight w:val="none"/>
          <w:lang w:eastAsia="zh-CN"/>
        </w:rPr>
        <w:t>违约责任</w:t>
      </w:r>
    </w:p>
    <w:p w14:paraId="475FC50F">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8.1.乙方除因不可抗力外，违反本合同约定的义务，均视为乙方违约。</w:t>
      </w:r>
    </w:p>
    <w:p w14:paraId="213300D7">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8.1.1.乙方拖延交付时间，则自违约之日起每日应按照合同未交付部分付款额的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w:t>
      </w:r>
    </w:p>
    <w:p w14:paraId="444CD97E">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8.1.2.若乙方未按售后服务承诺及时提供售后服务或提供服务质量不符合承诺要求的，每次违约，乙方应按照合同总金额的</w:t>
      </w:r>
      <w:r>
        <w:rPr>
          <w:rFonts w:hint="eastAsia" w:ascii="宋体" w:hAnsi="宋体" w:eastAsia="宋体" w:cs="宋体"/>
          <w:sz w:val="24"/>
          <w:szCs w:val="24"/>
          <w:highlight w:val="none"/>
          <w:u w:val="single"/>
          <w:lang w:val="en-US" w:eastAsia="zh-CN"/>
        </w:rPr>
        <w:t>1</w:t>
      </w:r>
      <w:r>
        <w:rPr>
          <w:rFonts w:hint="eastAsia" w:ascii="宋体" w:hAnsi="宋体" w:eastAsia="宋体" w:cs="宋体"/>
          <w:sz w:val="24"/>
          <w:szCs w:val="24"/>
          <w:highlight w:val="none"/>
          <w:lang w:eastAsia="zh-CN"/>
        </w:rPr>
        <w:t>％向甲方支付违约金。同时，甲方有权自行聘请第三方提供相应服务，所发生的费用由乙方承担或由甲方直接从质保金中扣除（如约定质保金时），不足部分，甲方有权向乙方追偿。</w:t>
      </w:r>
    </w:p>
    <w:p w14:paraId="32794689">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8.2.甲方除因不可抗力外，违反本合同约定的义务，均视为甲方违约，但乙方违约在先的除外。</w:t>
      </w:r>
    </w:p>
    <w:p w14:paraId="2E0C353F">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8.2.1.双方同意，在不可抗力的影响下，受阻方可暂时停止执行本合同的受阻部分。当不可抗力事件持续的时间超过</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3504E0D9">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8.2.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.如发生违约事件，守约方要求违约方支付违约金时，以书面方式通知违约方，内容包括违约事件、违约金、支付时间和方式等；违约方在收到上述通知后，应于</w:t>
      </w:r>
      <w:r>
        <w:rPr>
          <w:rFonts w:hint="eastAsia" w:ascii="宋体" w:hAnsi="宋体" w:eastAsia="宋体" w:cs="宋体"/>
          <w:sz w:val="24"/>
          <w:szCs w:val="24"/>
          <w:highlight w:val="none"/>
          <w:u w:val="single"/>
          <w:lang w:eastAsia="zh-CN"/>
        </w:rPr>
        <w:t>30</w:t>
      </w:r>
      <w:r>
        <w:rPr>
          <w:rFonts w:hint="eastAsia" w:ascii="宋体" w:hAnsi="宋体" w:eastAsia="宋体" w:cs="宋体"/>
          <w:sz w:val="24"/>
          <w:szCs w:val="24"/>
          <w:highlight w:val="none"/>
          <w:lang w:eastAsia="zh-CN"/>
        </w:rPr>
        <w:t>个工作日内答复对方，并支付违约金。</w:t>
      </w:r>
    </w:p>
    <w:p w14:paraId="4C9082F0">
      <w:pPr>
        <w:keepNext w:val="0"/>
        <w:keepLines w:val="0"/>
        <w:pageBreakBefore w:val="0"/>
        <w:wordWrap/>
        <w:overflowPunct/>
        <w:topLinePunct w:val="0"/>
        <w:bidi w:val="0"/>
        <w:spacing w:line="312"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 xml:space="preserve">第九条 </w:t>
      </w:r>
      <w:r>
        <w:rPr>
          <w:rFonts w:hint="eastAsia" w:ascii="宋体" w:hAnsi="宋体" w:eastAsia="宋体" w:cs="宋体"/>
          <w:b/>
          <w:bCs/>
          <w:sz w:val="24"/>
          <w:szCs w:val="24"/>
          <w:highlight w:val="none"/>
          <w:lang w:eastAsia="zh-CN"/>
        </w:rPr>
        <w:t>合同争议的解决</w:t>
      </w:r>
    </w:p>
    <w:p w14:paraId="445BBACB">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在执行本合同中所发生的争端，或与本合同有关的一切争端，甲、乙双方应通过协商解决。如通过协商方式仍不能解决争议，双方同意依法向甲方所在地的人民法院提起诉讼。</w:t>
      </w:r>
    </w:p>
    <w:p w14:paraId="1BC609F6">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在诉讼期间，除正在进行诉讼的部分外，本合同其他部分应继续执行。</w:t>
      </w:r>
    </w:p>
    <w:p w14:paraId="48F30ACB">
      <w:pPr>
        <w:keepNext w:val="0"/>
        <w:keepLines w:val="0"/>
        <w:pageBreakBefore w:val="0"/>
        <w:wordWrap/>
        <w:overflowPunct/>
        <w:topLinePunct w:val="0"/>
        <w:bidi w:val="0"/>
        <w:spacing w:line="312" w:lineRule="auto"/>
        <w:ind w:firstLine="482" w:firstLineChars="200"/>
        <w:rPr>
          <w:rFonts w:hint="eastAsia" w:ascii="宋体" w:hAnsi="宋体" w:eastAsia="宋体" w:cs="宋体"/>
          <w:b/>
          <w:bCs/>
          <w:sz w:val="24"/>
          <w:szCs w:val="24"/>
          <w:highlight w:val="none"/>
          <w:lang w:eastAsia="zh-CN"/>
        </w:rPr>
      </w:pPr>
      <w:r>
        <w:rPr>
          <w:rFonts w:hint="eastAsia" w:ascii="宋体" w:hAnsi="宋体" w:eastAsia="宋体" w:cs="宋体"/>
          <w:b/>
          <w:sz w:val="24"/>
          <w:szCs w:val="24"/>
          <w:highlight w:val="none"/>
          <w:lang w:eastAsia="zh-CN"/>
        </w:rPr>
        <w:t xml:space="preserve">第十条 </w:t>
      </w:r>
      <w:r>
        <w:rPr>
          <w:rFonts w:hint="eastAsia" w:ascii="宋体" w:hAnsi="宋体" w:eastAsia="宋体" w:cs="宋体"/>
          <w:b/>
          <w:bCs/>
          <w:sz w:val="24"/>
          <w:szCs w:val="24"/>
          <w:highlight w:val="none"/>
          <w:lang w:eastAsia="zh-CN"/>
        </w:rPr>
        <w:t>不可抗力</w:t>
      </w:r>
    </w:p>
    <w:p w14:paraId="3FE584E2">
      <w:pPr>
        <w:pStyle w:val="3"/>
        <w:keepNext w:val="0"/>
        <w:keepLines w:val="0"/>
        <w:pageBreakBefore w:val="0"/>
        <w:wordWrap/>
        <w:overflowPunct/>
        <w:topLinePunct w:val="0"/>
        <w:bidi w:val="0"/>
        <w:spacing w:line="312" w:lineRule="auto"/>
        <w:ind w:firstLine="480" w:firstLineChars="200"/>
        <w:rPr>
          <w:rFonts w:hint="eastAsia" w:ascii="宋体" w:hAnsi="宋体" w:eastAsia="宋体" w:cs="宋体"/>
          <w:bCs/>
          <w:sz w:val="24"/>
          <w:szCs w:val="24"/>
          <w:highlight w:val="none"/>
          <w:lang w:eastAsia="zh-CN"/>
        </w:rPr>
      </w:pPr>
      <w:r>
        <w:rPr>
          <w:rFonts w:hint="eastAsia" w:ascii="宋体" w:hAnsi="宋体" w:eastAsia="宋体" w:cs="宋体"/>
          <w:sz w:val="24"/>
          <w:szCs w:val="24"/>
          <w:highlight w:val="none"/>
          <w:lang w:eastAsia="zh-CN"/>
        </w:rPr>
        <w:t>10.1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1BC3F44">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10.2遭受不可抗力一方应在不可抗力事故发生后尽快以书面形式通知另一方;并在事故发生后</w:t>
      </w:r>
      <w:r>
        <w:rPr>
          <w:rFonts w:hint="eastAsia" w:ascii="宋体" w:hAnsi="宋体" w:eastAsia="宋体" w:cs="宋体"/>
          <w:sz w:val="24"/>
          <w:szCs w:val="24"/>
          <w:highlight w:val="none"/>
          <w:u w:val="single"/>
          <w:lang w:eastAsia="zh-CN"/>
        </w:rPr>
        <w:t>十（10）</w:t>
      </w:r>
      <w:r>
        <w:rPr>
          <w:rFonts w:hint="eastAsia" w:ascii="宋体" w:hAnsi="宋体" w:eastAsia="宋体" w:cs="宋体"/>
          <w:sz w:val="24"/>
          <w:szCs w:val="24"/>
          <w:highlight w:val="none"/>
          <w:lang w:eastAsia="zh-CN"/>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szCs w:val="24"/>
          <w:highlight w:val="none"/>
          <w:u w:val="single"/>
          <w:lang w:eastAsia="zh-CN"/>
        </w:rPr>
        <w:t>六十（60）</w:t>
      </w:r>
      <w:r>
        <w:rPr>
          <w:rFonts w:hint="eastAsia" w:ascii="宋体" w:hAnsi="宋体" w:eastAsia="宋体" w:cs="宋体"/>
          <w:sz w:val="24"/>
          <w:szCs w:val="24"/>
          <w:highlight w:val="none"/>
          <w:lang w:eastAsia="zh-CN"/>
        </w:rPr>
        <w:t>个日历日以上，双方应通过友好协商在合理的时间内达成进一步履行合同或终止合同的协议。</w:t>
      </w:r>
    </w:p>
    <w:p w14:paraId="6379AF53">
      <w:pPr>
        <w:keepNext w:val="0"/>
        <w:keepLines w:val="0"/>
        <w:pageBreakBefore w:val="0"/>
        <w:wordWrap/>
        <w:overflowPunct/>
        <w:topLinePunct w:val="0"/>
        <w:bidi w:val="0"/>
        <w:spacing w:line="312" w:lineRule="auto"/>
        <w:ind w:firstLine="482" w:firstLineChars="200"/>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第十一条 其他事项</w:t>
      </w:r>
    </w:p>
    <w:p w14:paraId="4D41751D">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1FFC204F">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本合同一式</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份，甲、乙双方各执</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份。本采购项目的招标文件、</w:t>
      </w:r>
      <w:r>
        <w:rPr>
          <w:rFonts w:hint="eastAsia" w:ascii="宋体" w:hAnsi="宋体" w:eastAsia="宋体" w:cs="宋体"/>
          <w:b w:val="0"/>
          <w:bCs/>
          <w:sz w:val="24"/>
          <w:szCs w:val="24"/>
          <w:highlight w:val="none"/>
          <w:lang w:val="en-US" w:eastAsia="zh-CN"/>
        </w:rPr>
        <w:t>乙方</w:t>
      </w:r>
      <w:r>
        <w:rPr>
          <w:rFonts w:hint="eastAsia" w:ascii="宋体" w:hAnsi="宋体" w:eastAsia="宋体" w:cs="宋体"/>
          <w:sz w:val="24"/>
          <w:szCs w:val="24"/>
          <w:highlight w:val="none"/>
          <w:lang w:eastAsia="zh-CN"/>
        </w:rPr>
        <w:t>的投标文件以及相关的澄清确认函（如果有的话）均为本合同不可分割的组成部分，与合同正文具备同等法律效力。</w:t>
      </w:r>
    </w:p>
    <w:p w14:paraId="78B965BF">
      <w:pPr>
        <w:keepNext w:val="0"/>
        <w:keepLines w:val="0"/>
        <w:pageBreakBefore w:val="0"/>
        <w:wordWrap/>
        <w:overflowPunct/>
        <w:topLinePunct w:val="0"/>
        <w:bidi w:val="0"/>
        <w:spacing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本合同经双方法定代表人/主要负责人或授权代表人签字盖章后生效。合同执行期内，除合同约定的解除情况，甲乙双方均不得随意变更或解除合同。对本合同的任何修改和补充，应以书面形式做出并经法定代表人/主要负责人或双方授权代表人签字盖章后方为有效，并成为本合同不可分割的组成部分。</w:t>
      </w:r>
    </w:p>
    <w:p w14:paraId="42482262">
      <w:pPr>
        <w:keepNext w:val="0"/>
        <w:keepLines w:val="0"/>
        <w:pageBreakBefore w:val="0"/>
        <w:wordWrap/>
        <w:overflowPunct/>
        <w:topLinePunct w:val="0"/>
        <w:bidi w:val="0"/>
        <w:spacing w:after="156" w:afterLines="50"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如有未尽事宜，甲、乙双方协商解决。</w:t>
      </w:r>
    </w:p>
    <w:tbl>
      <w:tblPr>
        <w:tblStyle w:val="8"/>
        <w:tblW w:w="0" w:type="auto"/>
        <w:jc w:val="center"/>
        <w:tblLayout w:type="fixed"/>
        <w:tblCellMar>
          <w:top w:w="0" w:type="dxa"/>
          <w:left w:w="108" w:type="dxa"/>
          <w:bottom w:w="0" w:type="dxa"/>
          <w:right w:w="108" w:type="dxa"/>
        </w:tblCellMar>
      </w:tblPr>
      <w:tblGrid>
        <w:gridCol w:w="4201"/>
        <w:gridCol w:w="4202"/>
      </w:tblGrid>
      <w:tr w14:paraId="37B1AD74">
        <w:tblPrEx>
          <w:tblCellMar>
            <w:top w:w="0" w:type="dxa"/>
            <w:left w:w="108" w:type="dxa"/>
            <w:bottom w:w="0" w:type="dxa"/>
            <w:right w:w="108" w:type="dxa"/>
          </w:tblCellMar>
        </w:tblPrEx>
        <w:trPr>
          <w:trHeight w:val="484" w:hRule="exact"/>
          <w:jc w:val="center"/>
        </w:trPr>
        <w:tc>
          <w:tcPr>
            <w:tcW w:w="4201" w:type="dxa"/>
            <w:noWrap w:val="0"/>
            <w:vAlign w:val="center"/>
          </w:tcPr>
          <w:p w14:paraId="6CB1B8D7">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7943B97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4837A937">
        <w:tblPrEx>
          <w:tblCellMar>
            <w:top w:w="0" w:type="dxa"/>
            <w:left w:w="108" w:type="dxa"/>
            <w:bottom w:w="0" w:type="dxa"/>
            <w:right w:w="108" w:type="dxa"/>
          </w:tblCellMar>
        </w:tblPrEx>
        <w:trPr>
          <w:trHeight w:val="467" w:hRule="exact"/>
          <w:jc w:val="center"/>
        </w:trPr>
        <w:tc>
          <w:tcPr>
            <w:tcW w:w="4201" w:type="dxa"/>
            <w:noWrap w:val="0"/>
            <w:vAlign w:val="center"/>
          </w:tcPr>
          <w:p w14:paraId="68F97714">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4CCC130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675B0681">
        <w:tblPrEx>
          <w:tblCellMar>
            <w:top w:w="0" w:type="dxa"/>
            <w:left w:w="108" w:type="dxa"/>
            <w:bottom w:w="0" w:type="dxa"/>
            <w:right w:w="108" w:type="dxa"/>
          </w:tblCellMar>
        </w:tblPrEx>
        <w:trPr>
          <w:trHeight w:val="501" w:hRule="exact"/>
          <w:jc w:val="center"/>
        </w:trPr>
        <w:tc>
          <w:tcPr>
            <w:tcW w:w="4201" w:type="dxa"/>
            <w:noWrap w:val="0"/>
            <w:vAlign w:val="center"/>
          </w:tcPr>
          <w:p w14:paraId="5809AA74">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6D65799B">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7EBB02D2">
        <w:tblPrEx>
          <w:tblCellMar>
            <w:top w:w="0" w:type="dxa"/>
            <w:left w:w="108" w:type="dxa"/>
            <w:bottom w:w="0" w:type="dxa"/>
            <w:right w:w="108" w:type="dxa"/>
          </w:tblCellMar>
        </w:tblPrEx>
        <w:trPr>
          <w:trHeight w:val="450" w:hRule="exact"/>
          <w:jc w:val="center"/>
        </w:trPr>
        <w:tc>
          <w:tcPr>
            <w:tcW w:w="4201" w:type="dxa"/>
            <w:noWrap w:val="0"/>
            <w:vAlign w:val="center"/>
          </w:tcPr>
          <w:p w14:paraId="6219E1F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0AB6A66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7F0873F">
        <w:tblPrEx>
          <w:tblCellMar>
            <w:top w:w="0" w:type="dxa"/>
            <w:left w:w="108" w:type="dxa"/>
            <w:bottom w:w="0" w:type="dxa"/>
            <w:right w:w="108" w:type="dxa"/>
          </w:tblCellMar>
        </w:tblPrEx>
        <w:trPr>
          <w:trHeight w:val="533" w:hRule="exact"/>
          <w:jc w:val="center"/>
        </w:trPr>
        <w:tc>
          <w:tcPr>
            <w:tcW w:w="4201" w:type="dxa"/>
            <w:noWrap w:val="0"/>
            <w:vAlign w:val="center"/>
          </w:tcPr>
          <w:p w14:paraId="7F7A791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5C3B2DE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5CC1E862">
        <w:tblPrEx>
          <w:tblCellMar>
            <w:top w:w="0" w:type="dxa"/>
            <w:left w:w="108" w:type="dxa"/>
            <w:bottom w:w="0" w:type="dxa"/>
            <w:right w:w="108" w:type="dxa"/>
          </w:tblCellMar>
        </w:tblPrEx>
        <w:trPr>
          <w:trHeight w:val="533" w:hRule="exact"/>
          <w:jc w:val="center"/>
        </w:trPr>
        <w:tc>
          <w:tcPr>
            <w:tcW w:w="4201" w:type="dxa"/>
            <w:noWrap w:val="0"/>
            <w:vAlign w:val="center"/>
          </w:tcPr>
          <w:p w14:paraId="26CF640B">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5CBF85E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73BFFCF4">
        <w:tblPrEx>
          <w:tblCellMar>
            <w:top w:w="0" w:type="dxa"/>
            <w:left w:w="108" w:type="dxa"/>
            <w:bottom w:w="0" w:type="dxa"/>
            <w:right w:w="108" w:type="dxa"/>
          </w:tblCellMar>
        </w:tblPrEx>
        <w:trPr>
          <w:trHeight w:val="500" w:hRule="exact"/>
          <w:jc w:val="center"/>
        </w:trPr>
        <w:tc>
          <w:tcPr>
            <w:tcW w:w="4201" w:type="dxa"/>
            <w:noWrap w:val="0"/>
            <w:vAlign w:val="center"/>
          </w:tcPr>
          <w:p w14:paraId="4144BB7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6B171DA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3237ACCE">
        <w:tblPrEx>
          <w:tblCellMar>
            <w:top w:w="0" w:type="dxa"/>
            <w:left w:w="108" w:type="dxa"/>
            <w:bottom w:w="0" w:type="dxa"/>
            <w:right w:w="108" w:type="dxa"/>
          </w:tblCellMar>
        </w:tblPrEx>
        <w:trPr>
          <w:trHeight w:val="467" w:hRule="exact"/>
          <w:jc w:val="center"/>
        </w:trPr>
        <w:tc>
          <w:tcPr>
            <w:tcW w:w="4201" w:type="dxa"/>
            <w:noWrap w:val="0"/>
            <w:vAlign w:val="center"/>
          </w:tcPr>
          <w:p w14:paraId="263E8FF0">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77E596E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7B0FA400">
        <w:tblPrEx>
          <w:tblCellMar>
            <w:top w:w="0" w:type="dxa"/>
            <w:left w:w="108" w:type="dxa"/>
            <w:bottom w:w="0" w:type="dxa"/>
            <w:right w:w="108" w:type="dxa"/>
          </w:tblCellMar>
        </w:tblPrEx>
        <w:trPr>
          <w:trHeight w:val="567" w:hRule="exact"/>
          <w:jc w:val="center"/>
        </w:trPr>
        <w:tc>
          <w:tcPr>
            <w:tcW w:w="4201" w:type="dxa"/>
            <w:noWrap w:val="0"/>
            <w:vAlign w:val="center"/>
          </w:tcPr>
          <w:p w14:paraId="3C243E3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0099AD4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12B937BE">
        <w:tblPrEx>
          <w:tblCellMar>
            <w:top w:w="0" w:type="dxa"/>
            <w:left w:w="108" w:type="dxa"/>
            <w:bottom w:w="0" w:type="dxa"/>
            <w:right w:w="108" w:type="dxa"/>
          </w:tblCellMar>
        </w:tblPrEx>
        <w:trPr>
          <w:trHeight w:val="567" w:hRule="exact"/>
          <w:jc w:val="center"/>
        </w:trPr>
        <w:tc>
          <w:tcPr>
            <w:tcW w:w="4201" w:type="dxa"/>
            <w:noWrap w:val="0"/>
            <w:vAlign w:val="center"/>
          </w:tcPr>
          <w:p w14:paraId="1F68959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4A21E76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1BE67EB1">
      <w:pPr>
        <w:jc w:val="center"/>
        <w:rPr>
          <w:highlight w:val="none"/>
        </w:rPr>
      </w:pPr>
    </w:p>
    <w:p w14:paraId="72ACA4B5"/>
    <w:sectPr>
      <w:pgSz w:w="11906" w:h="16838"/>
      <w:pgMar w:top="1134" w:right="1083" w:bottom="1134"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31D3D"/>
    <w:rsid w:val="11DD425B"/>
    <w:rsid w:val="316C7AA1"/>
    <w:rsid w:val="430D3E90"/>
    <w:rsid w:val="52E31D3D"/>
    <w:rsid w:val="56EC7829"/>
    <w:rsid w:val="69A320DB"/>
    <w:rsid w:val="71CE71C3"/>
    <w:rsid w:val="750C2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Body Text Indent"/>
    <w:basedOn w:val="1"/>
    <w:unhideWhenUsed/>
    <w:qFormat/>
    <w:uiPriority w:val="99"/>
    <w:pPr>
      <w:spacing w:line="640" w:lineRule="exact"/>
      <w:ind w:firstLine="585"/>
    </w:pPr>
    <w:rPr>
      <w:rFonts w:ascii="楷体_GB2312" w:eastAsia="楷体_GB2312"/>
      <w:sz w:val="32"/>
    </w:rPr>
  </w:style>
  <w:style w:type="paragraph" w:styleId="4">
    <w:name w:val="Plain Text"/>
    <w:basedOn w:val="1"/>
    <w:next w:val="1"/>
    <w:qFormat/>
    <w:uiPriority w:val="0"/>
    <w:rPr>
      <w:rFonts w:ascii="宋体"/>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2"/>
    <w:basedOn w:val="1"/>
    <w:qFormat/>
    <w:uiPriority w:val="0"/>
    <w:pPr>
      <w:spacing w:after="120" w:line="480" w:lineRule="auto"/>
    </w:pPr>
    <w:rPr>
      <w:rFonts w:ascii="黑体" w:hAnsi="黑体" w:eastAsia="黑体"/>
      <w:kern w:val="2"/>
      <w:sz w:val="21"/>
      <w:szCs w:val="24"/>
    </w:rPr>
  </w:style>
  <w:style w:type="paragraph" w:styleId="7">
    <w:name w:val="Normal (Web)"/>
    <w:basedOn w:val="1"/>
    <w:qFormat/>
    <w:uiPriority w:val="0"/>
    <w:pPr>
      <w:widowControl/>
      <w:spacing w:before="100" w:beforeAutospacing="1" w:after="100" w:afterAutospacing="1"/>
    </w:pPr>
    <w:rPr>
      <w:rFonts w:ascii="宋体" w:hAnsi="宋体"/>
      <w:sz w:val="24"/>
    </w:rPr>
  </w:style>
  <w:style w:type="paragraph" w:customStyle="1" w:styleId="10">
    <w:name w:val="Table Paragraph"/>
    <w:basedOn w:val="1"/>
    <w:autoRedefine/>
    <w:qFormat/>
    <w:uiPriority w:val="1"/>
  </w:style>
  <w:style w:type="paragraph" w:customStyle="1" w:styleId="11">
    <w:name w:val="列出段落1"/>
    <w:basedOn w:val="1"/>
    <w:autoRedefine/>
    <w:qFormat/>
    <w:uiPriority w:val="0"/>
    <w:pPr>
      <w:ind w:firstLine="420" w:firstLineChars="200"/>
    </w:pPr>
    <w:rPr>
      <w:szCs w:val="24"/>
    </w:rPr>
  </w:style>
  <w:style w:type="paragraph" w:customStyle="1" w:styleId="12">
    <w:name w:val="Table Text"/>
    <w:basedOn w:val="1"/>
    <w:autoRedefine/>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2025-05-20T07:21:00Z</dcterms:created>
  <dc:creator>YIN</dc:creator>
  <cp:lastModifiedBy>YIN</cp:lastModifiedBy>
  <dcterms:modified xsi:type="dcterms:W3CDTF">2025-05-20T07:26:08Z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4C12B670220B4A0B8C26DE45478C7674_13</vt:lpwstr>
  </property>
  <property fmtid="{D5CDD505-2E9C-101B-9397-08002B2CF9AE}" pid="4" name="KSOTemplateDocerSaveRecord">
    <vt:lpwstr>eyJoZGlkIjoiZjVmMDA1NTM1N2VlYTBlZDI4ZWZkYmQ2Zjg1NzU5NDQiLCJ1c2VySWQiOiIyODQ1NzA0OTAifQ==</vt:lpwstr>
  </property>
</Properties>
</file>