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版本号：OTXA-252003109620250520001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盛世修典—“中国历代绘画大系”成果展·陕西特展数字影片《光影丹青》租赁项目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OTXA-2520031096</w:t>
      </w:r>
      <w:r>
        <w:br/>
      </w:r>
      <w:r>
        <w:br/>
      </w:r>
      <w:r>
        <w:br/>
      </w:r>
    </w:p>
    <w:p>
      <w:pPr>
        <w:pStyle w:val="null3"/>
        <w:jc w:val="center"/>
        <w:outlineLvl w:val="5"/>
      </w:pPr>
      <w:r>
        <w:rPr>
          <w:rFonts w:ascii="仿宋_GB2312" w:hAnsi="仿宋_GB2312" w:cs="仿宋_GB2312" w:eastAsia="仿宋_GB2312"/>
          <w:sz w:val="15"/>
          <w:b/>
        </w:rPr>
        <w:t>西安美术学院</w:t>
      </w:r>
    </w:p>
    <w:p>
      <w:pPr>
        <w:pStyle w:val="null3"/>
        <w:jc w:val="center"/>
        <w:outlineLvl w:val="5"/>
      </w:pPr>
      <w:r>
        <w:rPr>
          <w:rFonts w:ascii="仿宋_GB2312" w:hAnsi="仿宋_GB2312" w:cs="仿宋_GB2312" w:eastAsia="仿宋_GB2312"/>
          <w:sz w:val="15"/>
          <w:b/>
        </w:rPr>
        <w:t>东方（西安）国际招标有限公司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西安美术学院</w:t>
      </w:r>
      <w:r>
        <w:rPr>
          <w:rFonts w:ascii="仿宋_GB2312" w:hAnsi="仿宋_GB2312" w:cs="仿宋_GB2312" w:eastAsia="仿宋_GB2312"/>
        </w:rPr>
        <w:t>委托，拟对</w:t>
      </w:r>
      <w:r>
        <w:rPr>
          <w:rFonts w:ascii="仿宋_GB2312" w:hAnsi="仿宋_GB2312" w:cs="仿宋_GB2312" w:eastAsia="仿宋_GB2312"/>
        </w:rPr>
        <w:t>盛世修典—“中国历代绘画大系”成果展·陕西特展数字影片《光影丹青》租赁项目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OTXA-2520031096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盛世修典—“中国历代绘画大系”成果展·陕西特展数字影片《光影丹青》租赁项目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《光影丹青》沉浸式体验系统通过“艺术+科技”的手段实现中国历代绘画的创新转化，是“大系”成果展不可或缺的重要组成。</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西安美术学院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029-88214244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郭松、孙杰、张强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029-89529958-803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开户名称：东方（西安）国际招标有限公司</w:t>
            </w:r>
          </w:p>
          <w:p>
            <w:pPr>
              <w:pStyle w:val="null3"/>
            </w:pPr>
            <w:r>
              <w:rPr>
                <w:rFonts w:ascii="仿宋_GB2312" w:hAnsi="仿宋_GB2312" w:cs="仿宋_GB2312" w:eastAsia="仿宋_GB2312"/>
              </w:rPr>
              <w:t>开户银行：招商银行股份有限公司西安神舟四路支行</w:t>
            </w:r>
          </w:p>
          <w:p>
            <w:pPr>
              <w:pStyle w:val="null3"/>
            </w:pPr>
            <w:r>
              <w:rPr>
                <w:rFonts w:ascii="仿宋_GB2312" w:hAnsi="仿宋_GB2312" w:cs="仿宋_GB2312" w:eastAsia="仿宋_GB2312"/>
              </w:rPr>
              <w:t>银行账号：129910095710606</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颁布《招标代理服务收费管理暂行办法》（计价格[2002]1980号）和国家发展改革委员会办公厅颁发的《关于招标代理服务收费有关问题的通知》（发改办价格[2003]857号）文件规定下浮20%执行；代理服务费不足伍仟元的，按伍仟元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西安美术学院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西安美术学院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《光影丹青》沉浸式体验系统通过“艺术+科技”的手段实现中国历代绘画的创新转化，是“大系”成果展不可或缺的重要组成。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光影丹青》沉浸式体验系统通过“艺术+科技”的手段实现中国历代绘画的创新转化，是“大系”成果展不可或缺的重要组成。杭州求索文化科技有限公司拥有《光影丹青》沉浸式体验系统的完整知识产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主要功能或目标:《光影丹青》沉浸式体验系统是一个全沉浸式多感官互动体验系统。它实现多点设备和系统程序的无缝对接，具有实现多感官互动与沉浸式体验的功能。系统循环播放沉浸式体验内容，可以将采集得到的玩家姿态信息与可交互元素无缝对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需满足的要求: 1.取材于“中国历代绘画大系”收录绘画，运用数字化技术，打造了一个跨越多个朝代、融合多幅精品的沉浸式画境空间，实现传统绘画的创造性转化和创新型发展。 2.基于“文化+科技”的创新融合逻辑，大胆突破画作与画境的维度边界、观众与古画的欣赏边界、画作与画作的画框边界，全方位进行时间、空间、色彩、感官和互动等的融合，要求基于 Unreal Engine 5 引擎平台开发，基于次世代PBR流程进行虚拟三维场景系统搭建和部署。所有模型、功能和数据展示均在平台上进行标准化的软件定制开发和搭建，能够实现动态效果、实时功能交互和流畅运行。 3.至少运用30幅画作融合，突破画作与画作的画框边界，结合中国画的散点透视法,并根据空间位置和季节变化，精选多幅“大系”收录画作进行融合创作让观众可以如画家视角移步换景，从水上行舟到山中寻梅，从山涧溯溪到水榭观花。</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承包人按项目服务要求及特性，自行组织项目实施与管理，建立以项目负责人为核心的服务团队，实行项目负责人责任制，相关人员经过严格培训，能够胜任项目工作，满足项目实施及采购人要求。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承包人根据项目特性，自行配置投入有利于完成本项目服务各类设施设备（包含但不限于专业设备、辅助设备、工具、软件等），满足项目实施及采购人要求。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供应商在项目完成后提交验收申请，并提供全套验收资料，采购人在收到验收申请后组织验收。验收内容： 采购文件要求和响应文件承诺。 验收依据：合同、采购文件、响应文件、国家（行业）有关标准规范。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服务或服务质量不能满足要求，采购人会同相关单位有权终止合同，并对违约方的违约行为进行追究， 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1、具有独立承担民事责任的能力，提供营业执照或事业单位法人证书； 2、法人代表授权书（原件）； 3、提供供应商2022年以来任一年度的财务报告或财务报表；/或在协商时间前3个月内基本账户开户行开具的银行资信证明（须同时提供开户许可证或基本存款账户信息）；/或财政部门认可的政府采购专业担保机构出具的协商担保函（以上三种形式的资料提供任何一种即可）； 4、依法缴纳税收的良好记录（提供截止至协商响应文件递交截止时间12个月内任一月份的缴费凭据或完税证明，依法免税的单位应提供相关证明材料）； 5、依法缴纳社会保障资金的良好记录（提供截止至协商响应文件递交截止时间12个月内任一月份的缴费凭据或社保机构开具的社会保险参保缴费情况证明，依法不需要缴纳社会保障资金的单位应提供相关证明材料）； 6、参加政府采购活动前3年内在经营活动中没有重大违法记录的书面声明（原件）； 7、供应商信用信息 7.1查询渠道：“信用中国”网站（www.creditchina.gov.vn）、中国政府采购网（www.ccgp.gov.vn）；以现场查询为准。 7.2 截止时点：协商响应文件递交截止时间； 7.3 信用信息查询记录和证据留存的具体方式：网上查询结果打印。 7.4 信用信息的使用规则：凡在截止时点内，列入失信被执行人、重大税收违法案件当事人名单、政府采购严重违法失信行为记录名单的供应商，其协商报价视为无效。</w:t>
            </w:r>
          </w:p>
        </w:tc>
        <w:tc>
          <w:tcPr>
            <w:tcW w:type="dxa" w:w="1661"/>
          </w:tcPr>
          <w:p>
            <w:pPr>
              <w:pStyle w:val="null3"/>
            </w:pPr>
            <w:r>
              <w:rPr>
                <w:rFonts w:ascii="仿宋_GB2312" w:hAnsi="仿宋_GB2312" w:cs="仿宋_GB2312" w:eastAsia="仿宋_GB2312"/>
              </w:rPr>
              <w:t>供应商无重大违法记录的书面声明格式.docx 服务内容及服务邀请应答表 诚信声明.docx 法人代表授权书.docx 中小企业声明函 商务应答表 供应商应提交的相关资格证明材料 报价表 陕西省政府采购供应商拒绝政采商业领域贿赂承诺书.docx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2022年以来任一年度的财务报告或财务报表；/或在协商时间前3个月内基本账户开户行开具的银行资信证明（须同时提供开户许可证或基本存款账户信息）；/或财政部门认可的政府采购专业担保机构出具的协商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详见附件：诚信声明.docx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详见附件：供应商无重大违法记录的书面声明格式.docx</w:t>
      </w:r>
    </w:p>
    <w:p>
      <w:pPr>
        <w:pStyle w:val="null3"/>
        <w:ind w:firstLine="960"/>
      </w:pPr>
      <w:r>
        <w:rPr>
          <w:rFonts w:ascii="仿宋_GB2312" w:hAnsi="仿宋_GB2312" w:cs="仿宋_GB2312" w:eastAsia="仿宋_GB2312"/>
        </w:rPr>
        <w:t>详见附件：陕西省政府采购供应商拒绝政采商业领域贿赂承诺书.docx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