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169"/>
        <w:tblOverlap w:val="never"/>
        <w:tblW w:w="73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082"/>
        <w:gridCol w:w="1629"/>
        <w:gridCol w:w="1500"/>
        <w:gridCol w:w="1553"/>
      </w:tblGrid>
      <w:tr w14:paraId="79827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6B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2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6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46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0F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</w:t>
            </w:r>
          </w:p>
        </w:tc>
      </w:tr>
      <w:tr w14:paraId="3248A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45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69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D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房间数量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单个房间工程量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2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总量</w:t>
            </w:r>
          </w:p>
        </w:tc>
      </w:tr>
      <w:tr w14:paraId="5376D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2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78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1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F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4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17928.00 </w:t>
            </w:r>
          </w:p>
        </w:tc>
      </w:tr>
      <w:tr w14:paraId="06E46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D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A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C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B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0B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2824.80 </w:t>
            </w:r>
          </w:p>
        </w:tc>
      </w:tr>
      <w:tr w14:paraId="732B0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0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B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插座安装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6C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8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1712.00 </w:t>
            </w:r>
          </w:p>
        </w:tc>
      </w:tr>
      <w:tr w14:paraId="3A8C5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E3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CC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门油漆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8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7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F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847.44 </w:t>
            </w:r>
          </w:p>
        </w:tc>
      </w:tr>
      <w:tr w14:paraId="6FA62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9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5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8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CF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1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214.00 </w:t>
            </w:r>
          </w:p>
        </w:tc>
      </w:tr>
      <w:tr w14:paraId="3AA2C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CB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B6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公共区域粉刷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B2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82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0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3000.00 </w:t>
            </w:r>
          </w:p>
        </w:tc>
      </w:tr>
    </w:tbl>
    <w:p w14:paraId="4C2E8D83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注：门油漆计量方式为门洞阴影面积，公共区域作为其他宿舍粉刷及公共空间零星粉刷调配。</w:t>
      </w:r>
    </w:p>
    <w:p w14:paraId="1B0E4237"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说明：3号公寓总施工间数为114间，其中</w:t>
      </w:r>
      <w:r>
        <w:rPr>
          <w:rFonts w:hint="eastAsia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采购包1</w:t>
      </w:r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施工100间。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6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2025-05-22T09:14:27Z</dcterms:created>
  <dc:creator>1</dc:creator>
  <cp:lastModifiedBy> </cp:lastModifiedBy>
  <dcterms:modified xsi:type="dcterms:W3CDTF">2025-05-22T09:14:53Z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eyJoZGlkIjoiY2Y4M2VhM2YyNmRkMzRiNTA1Zjk0N2Y5MGZjZjgzOGUiLCJ1c2VySWQiOiI2MTYxMzk1OTMifQ==</vt:lpwstr>
  </property>
  <property fmtid="{D5CDD505-2E9C-101B-9397-08002B2CF9AE}" pid="4" name="ICV">
    <vt:lpwstr>45DCE5C5B22B4884B1E076CAC3AD21B3_12</vt:lpwstr>
  </property>
</Properties>
</file>