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FDCD58">
      <w:pPr>
        <w:spacing w:before="435" w:beforeLines="100" w:after="435" w:afterLines="100" w:line="480" w:lineRule="auto"/>
        <w:jc w:val="center"/>
        <w:rPr>
          <w:rFonts w:hint="eastAsia" w:ascii="黑体" w:hAnsi="宋体" w:eastAsia="黑体"/>
          <w:b/>
          <w:sz w:val="44"/>
          <w:szCs w:val="44"/>
        </w:rPr>
      </w:pPr>
    </w:p>
    <w:p w14:paraId="661ACAD0">
      <w:pPr>
        <w:spacing w:before="435" w:beforeLines="100" w:after="435" w:afterLines="100" w:line="480" w:lineRule="auto"/>
        <w:jc w:val="center"/>
        <w:rPr>
          <w:rFonts w:hint="eastAsia" w:ascii="黑体" w:hAnsi="宋体" w:eastAsia="黑体"/>
          <w:b/>
          <w:sz w:val="44"/>
          <w:szCs w:val="44"/>
        </w:rPr>
      </w:pPr>
    </w:p>
    <w:p w14:paraId="3FE16DA9">
      <w:pPr>
        <w:spacing w:before="435" w:beforeLines="100" w:after="435" w:afterLines="100" w:line="480" w:lineRule="auto"/>
        <w:jc w:val="center"/>
        <w:rPr>
          <w:rFonts w:hint="eastAsia" w:ascii="黑体" w:eastAsia="黑体"/>
          <w:b/>
          <w:sz w:val="44"/>
          <w:szCs w:val="44"/>
          <w:highlight w:val="none"/>
          <w:lang w:eastAsia="zh-CN"/>
        </w:rPr>
      </w:pPr>
      <w:r>
        <w:rPr>
          <w:rFonts w:hint="eastAsia" w:ascii="黑体" w:eastAsia="黑体"/>
          <w:b/>
          <w:sz w:val="44"/>
          <w:szCs w:val="44"/>
          <w:highlight w:val="none"/>
          <w:lang w:eastAsia="zh-CN"/>
        </w:rPr>
        <w:t>关中地区农村生物质燃烧污染排放调查</w:t>
      </w:r>
    </w:p>
    <w:p w14:paraId="28B4E63D">
      <w:pPr>
        <w:spacing w:before="435" w:beforeLines="100" w:after="435" w:afterLines="100" w:line="480" w:lineRule="auto"/>
        <w:jc w:val="center"/>
        <w:rPr>
          <w:rFonts w:hint="eastAsia" w:ascii="黑体" w:hAnsi="宋体" w:eastAsia="黑体"/>
          <w:b/>
          <w:sz w:val="44"/>
          <w:szCs w:val="44"/>
          <w:highlight w:val="none"/>
          <w:lang w:eastAsia="zh-CN"/>
        </w:rPr>
      </w:pPr>
      <w:r>
        <w:rPr>
          <w:rFonts w:hint="eastAsia" w:ascii="黑体" w:eastAsia="黑体"/>
          <w:b/>
          <w:sz w:val="44"/>
          <w:szCs w:val="44"/>
          <w:highlight w:val="none"/>
          <w:lang w:eastAsia="zh-CN"/>
        </w:rPr>
        <w:t>及管控项目合同</w:t>
      </w:r>
    </w:p>
    <w:p w14:paraId="73191CFC">
      <w:pPr>
        <w:spacing w:line="240" w:lineRule="auto"/>
        <w:jc w:val="center"/>
        <w:rPr>
          <w:rFonts w:ascii="宋体" w:hAnsi="宋体"/>
          <w:bCs/>
          <w:color w:val="000000"/>
          <w:sz w:val="15"/>
          <w:szCs w:val="18"/>
          <w:highlight w:val="none"/>
        </w:rPr>
      </w:pPr>
      <w:r>
        <w:rPr>
          <w:rFonts w:hint="eastAsia" w:ascii="黑体" w:hAnsi="宋体" w:eastAsia="黑体"/>
          <w:bCs/>
          <w:color w:val="000000"/>
          <w:sz w:val="28"/>
          <w:szCs w:val="28"/>
          <w:highlight w:val="none"/>
        </w:rPr>
        <w:t>（项目编号：</w:t>
      </w:r>
      <w:r>
        <w:rPr>
          <w:rFonts w:ascii="宋体" w:hAnsi="宋体"/>
          <w:b/>
          <w:bCs/>
          <w:sz w:val="28"/>
          <w:szCs w:val="28"/>
          <w:highlight w:val="none"/>
        </w:rPr>
        <w:t>xxxxx</w:t>
      </w:r>
      <w:r>
        <w:rPr>
          <w:rFonts w:hint="eastAsia" w:ascii="黑体" w:hAnsi="宋体" w:eastAsia="黑体"/>
          <w:bCs/>
          <w:color w:val="000000"/>
          <w:sz w:val="28"/>
          <w:szCs w:val="28"/>
          <w:highlight w:val="none"/>
        </w:rPr>
        <w:t>）</w:t>
      </w:r>
    </w:p>
    <w:p w14:paraId="7CBEFE6D">
      <w:pPr>
        <w:pStyle w:val="5"/>
        <w:spacing w:before="217" w:beforeLines="50" w:after="217" w:afterLines="50" w:line="240" w:lineRule="auto"/>
        <w:jc w:val="center"/>
        <w:rPr>
          <w:rFonts w:hint="eastAsia" w:ascii="黑体" w:hAnsi="宋体" w:eastAsia="黑体"/>
          <w:b/>
          <w:color w:val="000000"/>
          <w:sz w:val="32"/>
          <w:szCs w:val="32"/>
          <w:highlight w:val="none"/>
          <w:u w:val="single"/>
        </w:rPr>
      </w:pPr>
    </w:p>
    <w:p w14:paraId="57495AF4">
      <w:pPr>
        <w:rPr>
          <w:rFonts w:ascii="宋体" w:hAnsi="宋体"/>
          <w:highlight w:val="none"/>
        </w:rPr>
      </w:pPr>
    </w:p>
    <w:p w14:paraId="1AB0323D">
      <w:pPr>
        <w:rPr>
          <w:rFonts w:ascii="宋体" w:hAnsi="宋体"/>
          <w:highlight w:val="none"/>
        </w:rPr>
      </w:pPr>
    </w:p>
    <w:p w14:paraId="27F1DAC3">
      <w:pPr>
        <w:rPr>
          <w:rFonts w:ascii="宋体" w:hAnsi="宋体"/>
          <w:highlight w:val="none"/>
        </w:rPr>
      </w:pPr>
    </w:p>
    <w:p w14:paraId="6F045195">
      <w:pPr>
        <w:rPr>
          <w:rFonts w:ascii="宋体" w:hAnsi="宋体"/>
          <w:highlight w:val="none"/>
        </w:rPr>
      </w:pPr>
    </w:p>
    <w:p w14:paraId="030C7BE8">
      <w:pPr>
        <w:rPr>
          <w:rFonts w:ascii="宋体" w:hAnsi="宋体"/>
          <w:highlight w:val="none"/>
        </w:rPr>
      </w:pPr>
    </w:p>
    <w:p w14:paraId="18BBD4C9">
      <w:pPr>
        <w:rPr>
          <w:rFonts w:ascii="宋体" w:hAnsi="宋体"/>
          <w:highlight w:val="none"/>
        </w:rPr>
      </w:pPr>
    </w:p>
    <w:p w14:paraId="5B2DA36E">
      <w:pPr>
        <w:pStyle w:val="2"/>
        <w:rPr>
          <w:rFonts w:ascii="宋体" w:hAnsi="宋体"/>
          <w:highlight w:val="none"/>
        </w:rPr>
      </w:pPr>
    </w:p>
    <w:p w14:paraId="4B5DF13D">
      <w:pPr>
        <w:pStyle w:val="3"/>
      </w:pPr>
    </w:p>
    <w:p w14:paraId="6260B38B">
      <w:pPr>
        <w:spacing w:line="440" w:lineRule="exact"/>
        <w:rPr>
          <w:rFonts w:hint="eastAsia" w:ascii="宋体" w:hAnsi="宋体"/>
          <w:b/>
          <w:szCs w:val="32"/>
          <w:highlight w:val="none"/>
        </w:rPr>
      </w:pPr>
    </w:p>
    <w:p w14:paraId="62888BBB">
      <w:pPr>
        <w:pStyle w:val="5"/>
        <w:rPr>
          <w:highlight w:val="none"/>
        </w:rPr>
      </w:pPr>
    </w:p>
    <w:p w14:paraId="22AECE15">
      <w:pPr>
        <w:pStyle w:val="5"/>
        <w:rPr>
          <w:highlight w:val="none"/>
        </w:rPr>
      </w:pPr>
    </w:p>
    <w:p w14:paraId="47FB6516">
      <w:pPr>
        <w:pStyle w:val="5"/>
        <w:rPr>
          <w:highlight w:val="none"/>
        </w:rPr>
      </w:pPr>
    </w:p>
    <w:p w14:paraId="79320473">
      <w:pPr>
        <w:pStyle w:val="5"/>
        <w:rPr>
          <w:rFonts w:hint="eastAsia"/>
          <w:highlight w:val="none"/>
        </w:rPr>
      </w:pPr>
    </w:p>
    <w:p w14:paraId="55EFBF9A">
      <w:pPr>
        <w:pStyle w:val="5"/>
        <w:rPr>
          <w:rFonts w:hint="eastAsia"/>
          <w:highlight w:val="none"/>
        </w:rPr>
      </w:pPr>
    </w:p>
    <w:p w14:paraId="3BE7D520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甲  方：陕西省环境科学研究院</w:t>
      </w:r>
    </w:p>
    <w:p w14:paraId="7F6D1241">
      <w:pPr>
        <w:rPr>
          <w:sz w:val="32"/>
          <w:szCs w:val="32"/>
        </w:rPr>
      </w:pPr>
    </w:p>
    <w:p w14:paraId="0273C061">
      <w:pPr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>乙  方：</w:t>
      </w:r>
    </w:p>
    <w:p w14:paraId="1968E53F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</w:p>
    <w:p w14:paraId="21DCD35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2025年  月</w:t>
      </w:r>
    </w:p>
    <w:p w14:paraId="2F503E94">
      <w:pPr>
        <w:adjustRightInd w:val="0"/>
        <w:snapToGrid w:val="0"/>
        <w:spacing w:line="384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587CE80">
      <w:pPr>
        <w:adjustRightInd w:val="0"/>
        <w:snapToGrid w:val="0"/>
        <w:spacing w:line="384" w:lineRule="auto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甲方（采购人）：</w:t>
      </w:r>
    </w:p>
    <w:p w14:paraId="02BFD6A9">
      <w:pPr>
        <w:adjustRightInd w:val="0"/>
        <w:snapToGrid w:val="0"/>
        <w:spacing w:line="384" w:lineRule="auto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乙方（供应商）：</w:t>
      </w:r>
    </w:p>
    <w:p w14:paraId="26824B40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本合同甲方委托乙方进行</w:t>
      </w:r>
      <w:r>
        <w:rPr>
          <w:rFonts w:hint="eastAsia"/>
          <w:sz w:val="24"/>
          <w:u w:val="single"/>
        </w:rPr>
        <w:t>关中地区农村生物质燃烧污染排放调查及管控项目</w:t>
      </w:r>
      <w:r>
        <w:rPr>
          <w:rFonts w:hint="eastAsia"/>
          <w:sz w:val="24"/>
        </w:rPr>
        <w:t>服务事项，并支付服务报酬。双方经过平等协商，在真实、充分地表达各自意愿的基础上，根据《中华人民共和国政府采购法》、《中华人民共和国民法典》及相关法律法规的规定，达成如下协议，并由双方共同恪守。</w:t>
      </w:r>
    </w:p>
    <w:p w14:paraId="2D7D1CFD">
      <w:pPr>
        <w:spacing w:line="360" w:lineRule="auto"/>
        <w:ind w:firstLine="480" w:firstLineChars="20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一、委托服务的内容及要求</w:t>
      </w:r>
    </w:p>
    <w:p w14:paraId="732F429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  <w:u w:val="single"/>
        </w:rPr>
        <w:t xml:space="preserve">                                               </w:t>
      </w:r>
    </w:p>
    <w:p w14:paraId="7D79E7ED">
      <w:pPr>
        <w:adjustRightInd w:val="0"/>
        <w:snapToGrid w:val="0"/>
        <w:spacing w:line="384" w:lineRule="auto"/>
        <w:ind w:firstLine="480" w:firstLineChars="200"/>
        <w:rPr>
          <w:rFonts w:cs="仿宋_GB2312"/>
          <w:b/>
          <w:bCs/>
          <w:sz w:val="24"/>
        </w:rPr>
      </w:pPr>
      <w:r>
        <w:rPr>
          <w:rFonts w:hint="eastAsia" w:cs="仿宋_GB2312"/>
          <w:b/>
          <w:bCs/>
          <w:sz w:val="24"/>
        </w:rPr>
        <w:t>二、合同价款</w:t>
      </w:r>
    </w:p>
    <w:p w14:paraId="0E0D8DB2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（一）合同总价款为人民币（大写</w:t>
      </w:r>
      <w:r>
        <w:rPr>
          <w:rFonts w:hint="eastAsia" w:cs="仿宋_GB2312"/>
          <w:bCs/>
          <w:sz w:val="24"/>
          <w:u w:val="single"/>
        </w:rPr>
        <w:t xml:space="preserve">         </w:t>
      </w:r>
      <w:r>
        <w:rPr>
          <w:rFonts w:hint="eastAsia" w:cs="仿宋_GB2312"/>
          <w:bCs/>
          <w:sz w:val="24"/>
        </w:rPr>
        <w:t>）（¥</w:t>
      </w:r>
      <w:r>
        <w:rPr>
          <w:rFonts w:hint="eastAsia" w:cs="仿宋_GB2312"/>
          <w:bCs/>
          <w:sz w:val="24"/>
          <w:u w:val="single"/>
        </w:rPr>
        <w:t xml:space="preserve">         </w:t>
      </w:r>
      <w:r>
        <w:rPr>
          <w:rFonts w:hint="eastAsia" w:cs="仿宋_GB2312"/>
          <w:bCs/>
          <w:sz w:val="24"/>
        </w:rPr>
        <w:t>）。</w:t>
      </w:r>
    </w:p>
    <w:p w14:paraId="6E72B29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（二）合同总价是指为本次服务工作所需的全部费用。</w:t>
      </w:r>
    </w:p>
    <w:p w14:paraId="6FDB1A4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（三）合同总价一次性包死，不受市场价格变化因素的影响。</w:t>
      </w:r>
    </w:p>
    <w:p w14:paraId="492DD083">
      <w:pPr>
        <w:adjustRightInd w:val="0"/>
        <w:snapToGrid w:val="0"/>
        <w:spacing w:line="384" w:lineRule="auto"/>
        <w:ind w:firstLine="480" w:firstLineChars="200"/>
        <w:rPr>
          <w:rFonts w:cs="仿宋_GB2312"/>
          <w:b/>
          <w:bCs/>
          <w:sz w:val="24"/>
        </w:rPr>
      </w:pPr>
      <w:r>
        <w:rPr>
          <w:rFonts w:hint="eastAsia" w:cs="仿宋_GB2312"/>
          <w:b/>
          <w:bCs/>
          <w:sz w:val="24"/>
        </w:rPr>
        <w:t>三、款项结算</w:t>
      </w:r>
    </w:p>
    <w:p w14:paraId="7BB90776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（一）合同款的支付：</w:t>
      </w:r>
    </w:p>
    <w:p w14:paraId="7A5324B1">
      <w:pPr>
        <w:adjustRightInd w:val="0"/>
        <w:snapToGrid w:val="0"/>
        <w:spacing w:line="360" w:lineRule="auto"/>
        <w:ind w:firstLine="480" w:firstLineChars="200"/>
        <w:rPr>
          <w:rFonts w:hint="eastAsia" w:cs="仿宋_GB2312"/>
          <w:bCs/>
          <w:sz w:val="24"/>
        </w:rPr>
      </w:pPr>
      <w:r>
        <w:rPr>
          <w:rFonts w:hint="eastAsia" w:cs="仿宋_GB2312"/>
          <w:bCs/>
          <w:sz w:val="24"/>
        </w:rPr>
        <w:t>付款条件说明：合同签订后，达到付款条件起15日内，支付合同总金额的50.00%。</w:t>
      </w:r>
    </w:p>
    <w:p w14:paraId="0733D517">
      <w:pPr>
        <w:adjustRightInd w:val="0"/>
        <w:snapToGrid w:val="0"/>
        <w:spacing w:line="360" w:lineRule="auto"/>
        <w:ind w:firstLine="480" w:firstLineChars="200"/>
        <w:rPr>
          <w:rFonts w:hint="eastAsia" w:cs="仿宋_GB2312"/>
          <w:bCs/>
          <w:sz w:val="24"/>
        </w:rPr>
      </w:pPr>
      <w:r>
        <w:rPr>
          <w:rFonts w:hint="eastAsia" w:cs="仿宋_GB2312"/>
          <w:bCs/>
          <w:sz w:val="24"/>
        </w:rPr>
        <w:t>付款条件说明：中期按工作量考核，完成2/3服务时限后，达到付款条件起15日内，支付合同总金额的40.00%。</w:t>
      </w:r>
    </w:p>
    <w:p w14:paraId="4DB4B920">
      <w:pPr>
        <w:adjustRightInd w:val="0"/>
        <w:snapToGrid w:val="0"/>
        <w:spacing w:line="360" w:lineRule="auto"/>
        <w:ind w:firstLine="480" w:firstLineChars="200"/>
        <w:rPr>
          <w:rFonts w:hint="eastAsia" w:cs="仿宋_GB2312"/>
          <w:bCs/>
          <w:sz w:val="24"/>
        </w:rPr>
      </w:pPr>
      <w:r>
        <w:rPr>
          <w:rFonts w:hint="eastAsia" w:cs="仿宋_GB2312"/>
          <w:bCs/>
          <w:sz w:val="24"/>
        </w:rPr>
        <w:t>付款条件说明：完成全部任务，验收完毕出具验收报告后 ，达到付款条件起15日内，支付合同总金额的10.00%。</w:t>
      </w:r>
    </w:p>
    <w:p w14:paraId="14E1777E">
      <w:pPr>
        <w:adjustRightInd w:val="0"/>
        <w:snapToGrid w:val="0"/>
        <w:spacing w:line="360" w:lineRule="auto"/>
        <w:ind w:firstLine="480" w:firstLineChars="200"/>
        <w:rPr>
          <w:rFonts w:cs="仿宋_GB2312"/>
          <w:bCs/>
          <w:sz w:val="24"/>
        </w:rPr>
      </w:pPr>
      <w:bookmarkStart w:id="0" w:name="_GoBack"/>
      <w:bookmarkEnd w:id="0"/>
      <w:r>
        <w:rPr>
          <w:rFonts w:hint="eastAsia" w:cs="仿宋_GB2312"/>
          <w:bCs/>
          <w:sz w:val="24"/>
        </w:rPr>
        <w:t>（二）支付方式：银行转账。</w:t>
      </w:r>
    </w:p>
    <w:p w14:paraId="713B711C">
      <w:pPr>
        <w:adjustRightInd w:val="0"/>
        <w:snapToGrid w:val="0"/>
        <w:spacing w:line="384" w:lineRule="auto"/>
        <w:ind w:left="239" w:leftChars="109" w:firstLine="240" w:firstLineChars="1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（三）结算方式：由监督机构负责结算，乙方开具合同总价数的全额发票甲方负责部门。</w:t>
      </w:r>
    </w:p>
    <w:p w14:paraId="15EFBA6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/>
          <w:sz w:val="24"/>
        </w:rPr>
        <w:t>四、服务地点、服务期限</w:t>
      </w:r>
    </w:p>
    <w:p w14:paraId="1B04DF50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（一）服务地点：</w:t>
      </w:r>
      <w:r>
        <w:rPr>
          <w:rFonts w:hint="eastAsia" w:cs="仿宋_GB2312"/>
          <w:bCs/>
          <w:sz w:val="24"/>
          <w:u w:val="single"/>
        </w:rPr>
        <w:t xml:space="preserve">                             </w:t>
      </w:r>
      <w:r>
        <w:rPr>
          <w:rFonts w:hint="eastAsia" w:cs="仿宋_GB2312"/>
          <w:bCs/>
          <w:sz w:val="24"/>
        </w:rPr>
        <w:t>。</w:t>
      </w:r>
    </w:p>
    <w:p w14:paraId="7E3B2557">
      <w:pPr>
        <w:adjustRightInd w:val="0"/>
        <w:snapToGrid w:val="0"/>
        <w:spacing w:line="384" w:lineRule="auto"/>
        <w:ind w:firstLine="480" w:firstLineChars="200"/>
        <w:rPr>
          <w:bCs/>
          <w:sz w:val="24"/>
        </w:rPr>
      </w:pPr>
      <w:r>
        <w:rPr>
          <w:rFonts w:hint="eastAsia" w:cs="仿宋_GB2312"/>
          <w:bCs/>
          <w:sz w:val="24"/>
        </w:rPr>
        <w:t>（二）服务期限：</w:t>
      </w:r>
      <w:r>
        <w:rPr>
          <w:rFonts w:hint="eastAsia" w:cs="仿宋_GB2312"/>
          <w:bCs/>
          <w:sz w:val="24"/>
          <w:u w:val="single"/>
        </w:rPr>
        <w:t xml:space="preserve">                             </w:t>
      </w:r>
      <w:r>
        <w:rPr>
          <w:rFonts w:hint="eastAsia"/>
          <w:sz w:val="24"/>
        </w:rPr>
        <w:t>。</w:t>
      </w:r>
    </w:p>
    <w:p w14:paraId="3A0E2624">
      <w:pPr>
        <w:adjustRightInd w:val="0"/>
        <w:snapToGrid w:val="0"/>
        <w:spacing w:line="384" w:lineRule="auto"/>
        <w:ind w:firstLine="480" w:firstLineChars="200"/>
        <w:rPr>
          <w:rFonts w:cs="仿宋_GB2312"/>
          <w:b/>
          <w:sz w:val="24"/>
        </w:rPr>
      </w:pPr>
      <w:r>
        <w:rPr>
          <w:rFonts w:hint="eastAsia" w:cs="仿宋_GB2312"/>
          <w:b/>
          <w:sz w:val="24"/>
        </w:rPr>
        <w:t>五、验收时间及依据</w:t>
      </w:r>
    </w:p>
    <w:p w14:paraId="461A1EB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（一）竞争性磋商文件、竞争性磋商响应文件；</w:t>
      </w:r>
    </w:p>
    <w:p w14:paraId="2B328CB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（二）本合同及附件文本；</w:t>
      </w:r>
    </w:p>
    <w:p w14:paraId="426A2E3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（三）合同签订时国家及行业现行的标准和技术规范。</w:t>
      </w:r>
    </w:p>
    <w:p w14:paraId="18060539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/>
          <w:bCs/>
          <w:sz w:val="24"/>
        </w:rPr>
        <w:t>六、责任与义务</w:t>
      </w:r>
    </w:p>
    <w:p w14:paraId="58F8152C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（一）乙方满足甲方人数和服务质量要求，经甲方与乙方双方负责人确认，对达不到本项目采购要求所述条件要求的人员进行更换。</w:t>
      </w:r>
    </w:p>
    <w:p w14:paraId="5536034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（二）投标报价应是乙方正确、全面完成竞争性磋商响应文件所述全部工作内容的全部报酬，不受市场价格变化等因素的影响，乙方不得以任何理由变 以及利润等都应包括在乙方提交的投标报价中，乙方不得要求甲方在报价之外支付其它任何费用。由于报价填报不完整、不清楚或存在其它任何失误，所导致的任何不利后果均应当由乙方自行承担。</w:t>
      </w:r>
    </w:p>
    <w:p w14:paraId="4295CF2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（三）合同有效期内，投标报价不因市场因素、政府政策调整、费率调整和税收变化等而作任何调整，乙方应在投标时充分考虑到各种风险因素。</w:t>
      </w:r>
    </w:p>
    <w:p w14:paraId="10CB50A9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/>
          <w:bCs/>
          <w:sz w:val="24"/>
        </w:rPr>
        <w:t>七</w:t>
      </w:r>
      <w:r>
        <w:rPr>
          <w:rFonts w:hint="eastAsia" w:cs="仿宋_GB2312"/>
          <w:b/>
          <w:sz w:val="24"/>
        </w:rPr>
        <w:t>、违约责任</w:t>
      </w:r>
    </w:p>
    <w:p w14:paraId="31A3E11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（一）按《中华人民共和国民法典》中的相关条款执行。</w:t>
      </w:r>
    </w:p>
    <w:p w14:paraId="34133A11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（二）未按合同要求提供服务或服务质量不能满足本次采购要求，甲方会同监督机构、采购代理机构有权终止合同和对乙方违约行为进行追究，同时按政府采购法的有关规定进行相应的处罚。</w:t>
      </w:r>
    </w:p>
    <w:p w14:paraId="3723B440">
      <w:pPr>
        <w:adjustRightInd w:val="0"/>
        <w:snapToGrid w:val="0"/>
        <w:spacing w:line="384" w:lineRule="auto"/>
        <w:ind w:firstLine="480" w:firstLineChars="200"/>
        <w:rPr>
          <w:rFonts w:cs="仿宋_GB2312"/>
          <w:b/>
          <w:bCs/>
          <w:sz w:val="24"/>
        </w:rPr>
      </w:pPr>
      <w:r>
        <w:rPr>
          <w:rFonts w:hint="eastAsia" w:cs="仿宋_GB2312"/>
          <w:b/>
          <w:bCs/>
          <w:sz w:val="24"/>
        </w:rPr>
        <w:t>八、其他事项</w:t>
      </w:r>
    </w:p>
    <w:p w14:paraId="71DA1093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（一）乙方不得转让、分包给其它单位或个人；</w:t>
      </w:r>
    </w:p>
    <w:p w14:paraId="0B8B67CB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（二）乙方的竞争性磋商响应文件和承诺等内容将列入合同。</w:t>
      </w:r>
    </w:p>
    <w:p w14:paraId="6893FBC3">
      <w:pPr>
        <w:adjustRightInd w:val="0"/>
        <w:snapToGrid w:val="0"/>
        <w:spacing w:line="384" w:lineRule="auto"/>
        <w:ind w:firstLine="480" w:firstLineChars="200"/>
        <w:rPr>
          <w:rFonts w:cs="仿宋_GB2312"/>
          <w:b/>
          <w:bCs/>
          <w:sz w:val="24"/>
        </w:rPr>
      </w:pPr>
      <w:r>
        <w:rPr>
          <w:rFonts w:hint="eastAsia" w:cs="仿宋_GB2312"/>
          <w:b/>
          <w:bCs/>
          <w:sz w:val="24"/>
        </w:rPr>
        <w:t>九、合同争议解决的方式</w:t>
      </w:r>
    </w:p>
    <w:p w14:paraId="5578AC45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本合同在履行过程中发生的争议，由甲、乙双方当事人协商解决，协商不成的按下列第</w:t>
      </w:r>
      <w:r>
        <w:rPr>
          <w:rFonts w:hint="eastAsia" w:cs="仿宋_GB2312"/>
          <w:bCs/>
          <w:sz w:val="24"/>
          <w:u w:val="single"/>
        </w:rPr>
        <w:t>（二）</w:t>
      </w:r>
      <w:r>
        <w:rPr>
          <w:rFonts w:hint="eastAsia" w:cs="仿宋_GB2312"/>
          <w:bCs/>
          <w:sz w:val="24"/>
        </w:rPr>
        <w:t>种方式解决：</w:t>
      </w:r>
    </w:p>
    <w:p w14:paraId="7FD0ED2E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Cs/>
          <w:sz w:val="24"/>
        </w:rPr>
        <w:t>（一）提交西安仲裁委员会仲裁；</w:t>
      </w:r>
    </w:p>
    <w:p w14:paraId="0032D7F5">
      <w:pPr>
        <w:adjustRightInd w:val="0"/>
        <w:snapToGrid w:val="0"/>
        <w:spacing w:line="384" w:lineRule="auto"/>
        <w:ind w:firstLine="480" w:firstLineChars="200"/>
      </w:pPr>
      <w:r>
        <w:rPr>
          <w:rFonts w:hint="eastAsia" w:cs="仿宋_GB2312"/>
          <w:bCs/>
          <w:sz w:val="24"/>
        </w:rPr>
        <w:t>（二）依法向有管辖权的人民法院起诉。</w:t>
      </w:r>
    </w:p>
    <w:p w14:paraId="38BFE07D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hint="eastAsia" w:cs="仿宋_GB2312"/>
          <w:b/>
          <w:sz w:val="24"/>
        </w:rPr>
        <w:t>十、合同生效</w:t>
      </w:r>
    </w:p>
    <w:p w14:paraId="65DC8BD5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cs="仿宋_GB2312"/>
          <w:bCs/>
          <w:sz w:val="24"/>
        </w:rPr>
        <w:t>1</w:t>
      </w:r>
      <w:r>
        <w:rPr>
          <w:rFonts w:hint="eastAsia" w:cs="仿宋_GB2312"/>
          <w:bCs/>
          <w:sz w:val="24"/>
        </w:rPr>
        <w:t>、本合同经双方签字盖章后生效。</w:t>
      </w:r>
    </w:p>
    <w:p w14:paraId="5C98AB7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cs="仿宋_GB2312"/>
          <w:bCs/>
          <w:sz w:val="24"/>
        </w:rPr>
        <w:t>2</w:t>
      </w:r>
      <w:r>
        <w:rPr>
          <w:rFonts w:hint="eastAsia" w:cs="仿宋_GB2312"/>
          <w:bCs/>
          <w:sz w:val="24"/>
        </w:rPr>
        <w:t>、本合同须经甲、乙双方的法定代表人（授权代理人）在合同书上签字并加盖本单位公章后正实生效。</w:t>
      </w:r>
    </w:p>
    <w:p w14:paraId="618C85AA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cs="仿宋_GB2312"/>
          <w:bCs/>
          <w:sz w:val="24"/>
        </w:rPr>
        <w:t>3</w:t>
      </w:r>
      <w:r>
        <w:rPr>
          <w:rFonts w:hint="eastAsia" w:cs="仿宋_GB2312"/>
          <w:bCs/>
          <w:sz w:val="24"/>
        </w:rPr>
        <w:t>、合同生效后，甲、乙双方须严格执行本合同条款的规定，全面履行合同，违者按《中华人民共和国民法典》的有关规定承担相应责任。</w:t>
      </w:r>
    </w:p>
    <w:p w14:paraId="7F22DD67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cs="仿宋_GB2312"/>
          <w:bCs/>
          <w:sz w:val="24"/>
        </w:rPr>
        <w:t>4</w:t>
      </w:r>
      <w:r>
        <w:rPr>
          <w:rFonts w:hint="eastAsia" w:cs="仿宋_GB2312"/>
          <w:bCs/>
          <w:sz w:val="24"/>
        </w:rPr>
        <w:t>、本合同一式</w:t>
      </w:r>
      <w:r>
        <w:rPr>
          <w:rFonts w:hint="eastAsia" w:cs="仿宋_GB2312"/>
          <w:bCs/>
          <w:sz w:val="24"/>
          <w:u w:val="single"/>
        </w:rPr>
        <w:t xml:space="preserve">   </w:t>
      </w:r>
      <w:r>
        <w:rPr>
          <w:rFonts w:hint="eastAsia" w:cs="仿宋_GB2312"/>
          <w:bCs/>
          <w:sz w:val="24"/>
        </w:rPr>
        <w:t>份，甲乙双方各执</w:t>
      </w:r>
      <w:r>
        <w:rPr>
          <w:rFonts w:hint="eastAsia" w:cs="仿宋_GB2312"/>
          <w:bCs/>
          <w:sz w:val="24"/>
          <w:u w:val="single"/>
        </w:rPr>
        <w:t xml:space="preserve">   </w:t>
      </w:r>
      <w:r>
        <w:rPr>
          <w:rFonts w:hint="eastAsia" w:cs="仿宋_GB2312"/>
          <w:bCs/>
          <w:sz w:val="24"/>
        </w:rPr>
        <w:t>份。</w:t>
      </w:r>
    </w:p>
    <w:p w14:paraId="4F7E97DF">
      <w:pPr>
        <w:adjustRightInd w:val="0"/>
        <w:snapToGrid w:val="0"/>
        <w:spacing w:line="384" w:lineRule="auto"/>
        <w:ind w:firstLine="480" w:firstLineChars="200"/>
        <w:rPr>
          <w:rFonts w:cs="仿宋_GB2312"/>
          <w:bCs/>
          <w:sz w:val="24"/>
        </w:rPr>
      </w:pPr>
      <w:r>
        <w:rPr>
          <w:rFonts w:cs="仿宋_GB2312"/>
          <w:bCs/>
          <w:sz w:val="24"/>
        </w:rPr>
        <w:t>5</w:t>
      </w:r>
      <w:r>
        <w:rPr>
          <w:rFonts w:hint="eastAsia" w:cs="仿宋_GB2312"/>
          <w:bCs/>
          <w:sz w:val="24"/>
        </w:rPr>
        <w:t>、本合同如有未尽事宜，甲、乙双方协商解决。</w:t>
      </w:r>
    </w:p>
    <w:p w14:paraId="4639DA34">
      <w:pPr>
        <w:adjustRightInd w:val="0"/>
        <w:spacing w:line="360" w:lineRule="auto"/>
        <w:rPr>
          <w:rFonts w:cs="仿宋_GB2312"/>
          <w:bCs/>
          <w:sz w:val="24"/>
        </w:rPr>
      </w:pPr>
    </w:p>
    <w:tbl>
      <w:tblPr>
        <w:tblStyle w:val="6"/>
        <w:tblW w:w="840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1"/>
        <w:gridCol w:w="4202"/>
      </w:tblGrid>
      <w:tr w14:paraId="0E103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5E7D994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甲  方</w:t>
            </w:r>
          </w:p>
        </w:tc>
        <w:tc>
          <w:tcPr>
            <w:tcW w:w="4202" w:type="dxa"/>
            <w:vAlign w:val="center"/>
          </w:tcPr>
          <w:p w14:paraId="233E69D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乙  方</w:t>
            </w:r>
          </w:p>
        </w:tc>
      </w:tr>
      <w:tr w14:paraId="0E7545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70E7A9C4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（盖章）</w:t>
            </w:r>
          </w:p>
        </w:tc>
        <w:tc>
          <w:tcPr>
            <w:tcW w:w="4202" w:type="dxa"/>
            <w:vAlign w:val="center"/>
          </w:tcPr>
          <w:p w14:paraId="18436F6F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（盖章）</w:t>
            </w:r>
          </w:p>
        </w:tc>
      </w:tr>
      <w:tr w14:paraId="03CEA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0B1B7C1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 xml:space="preserve">地址： </w:t>
            </w:r>
          </w:p>
        </w:tc>
        <w:tc>
          <w:tcPr>
            <w:tcW w:w="4202" w:type="dxa"/>
            <w:vAlign w:val="center"/>
          </w:tcPr>
          <w:p w14:paraId="3E12D78B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地址：</w:t>
            </w:r>
          </w:p>
        </w:tc>
      </w:tr>
      <w:tr w14:paraId="7CBB1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2ABDCEC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邮编：</w:t>
            </w:r>
          </w:p>
        </w:tc>
        <w:tc>
          <w:tcPr>
            <w:tcW w:w="4202" w:type="dxa"/>
            <w:vAlign w:val="center"/>
          </w:tcPr>
          <w:p w14:paraId="70ED1B69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邮编：</w:t>
            </w:r>
          </w:p>
        </w:tc>
      </w:tr>
      <w:tr w14:paraId="76B121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19B8EFD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 xml:space="preserve">法定代表人： </w:t>
            </w:r>
          </w:p>
        </w:tc>
        <w:tc>
          <w:tcPr>
            <w:tcW w:w="4202" w:type="dxa"/>
            <w:vAlign w:val="center"/>
          </w:tcPr>
          <w:p w14:paraId="5E3F735F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法定代表人：</w:t>
            </w:r>
          </w:p>
        </w:tc>
      </w:tr>
      <w:tr w14:paraId="0F17B3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622EA53E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项目负责人：</w:t>
            </w:r>
          </w:p>
        </w:tc>
        <w:tc>
          <w:tcPr>
            <w:tcW w:w="4202" w:type="dxa"/>
            <w:vAlign w:val="center"/>
          </w:tcPr>
          <w:p w14:paraId="5989DC17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项目负责人：</w:t>
            </w:r>
          </w:p>
        </w:tc>
      </w:tr>
      <w:tr w14:paraId="5B838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4BB7D747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电话：</w:t>
            </w:r>
          </w:p>
        </w:tc>
        <w:tc>
          <w:tcPr>
            <w:tcW w:w="4202" w:type="dxa"/>
            <w:vAlign w:val="center"/>
          </w:tcPr>
          <w:p w14:paraId="66224324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电话：</w:t>
            </w:r>
          </w:p>
        </w:tc>
      </w:tr>
      <w:tr w14:paraId="3B2E96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26768383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传真：</w:t>
            </w:r>
          </w:p>
        </w:tc>
        <w:tc>
          <w:tcPr>
            <w:tcW w:w="4202" w:type="dxa"/>
            <w:vAlign w:val="center"/>
          </w:tcPr>
          <w:p w14:paraId="3E059BB8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传真：</w:t>
            </w:r>
          </w:p>
        </w:tc>
      </w:tr>
      <w:tr w14:paraId="08AC6C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1F1FD082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开户银行：</w:t>
            </w:r>
          </w:p>
        </w:tc>
        <w:tc>
          <w:tcPr>
            <w:tcW w:w="4202" w:type="dxa"/>
            <w:vAlign w:val="center"/>
          </w:tcPr>
          <w:p w14:paraId="375BB833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开户银行：</w:t>
            </w:r>
          </w:p>
        </w:tc>
      </w:tr>
      <w:tr w14:paraId="01DCD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4201" w:type="dxa"/>
            <w:vAlign w:val="center"/>
          </w:tcPr>
          <w:p w14:paraId="3AC47331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日期：</w:t>
            </w:r>
          </w:p>
        </w:tc>
        <w:tc>
          <w:tcPr>
            <w:tcW w:w="4202" w:type="dxa"/>
            <w:vAlign w:val="center"/>
          </w:tcPr>
          <w:p w14:paraId="79F24494">
            <w:pPr>
              <w:adjustRightInd w:val="0"/>
              <w:snapToGrid w:val="0"/>
              <w:spacing w:line="372" w:lineRule="auto"/>
              <w:rPr>
                <w:rFonts w:cs="仿宋_GB2312"/>
                <w:bCs/>
                <w:sz w:val="24"/>
              </w:rPr>
            </w:pPr>
            <w:r>
              <w:rPr>
                <w:rFonts w:hint="eastAsia" w:cs="仿宋_GB2312"/>
                <w:bCs/>
                <w:sz w:val="24"/>
              </w:rPr>
              <w:t>日期：</w:t>
            </w:r>
          </w:p>
        </w:tc>
      </w:tr>
    </w:tbl>
    <w:p w14:paraId="02044E5A">
      <w:pPr>
        <w:pStyle w:val="8"/>
        <w:rPr>
          <w:rFonts w:hint="default"/>
        </w:rPr>
      </w:pPr>
      <w:r>
        <w:br w:type="textWrapping"/>
      </w:r>
    </w:p>
    <w:p w14:paraId="35414BB0">
      <w:pPr>
        <w:pStyle w:val="4"/>
        <w:spacing w:line="560" w:lineRule="exact"/>
        <w:ind w:firstLine="440" w:firstLineChars="200"/>
        <w:rPr>
          <w:sz w:val="22"/>
          <w:szCs w:val="22"/>
        </w:rPr>
      </w:pPr>
    </w:p>
    <w:p w14:paraId="6B9CA04A">
      <w:pPr>
        <w:pStyle w:val="4"/>
        <w:rPr>
          <w:rFonts w:hint="eastAsia"/>
          <w:sz w:val="20"/>
          <w:szCs w:val="20"/>
        </w:rPr>
      </w:pPr>
    </w:p>
    <w:p w14:paraId="7B512243">
      <w:pPr>
        <w:pStyle w:val="4"/>
        <w:spacing w:line="560" w:lineRule="exact"/>
      </w:pPr>
    </w:p>
    <w:p w14:paraId="53A73A2E">
      <w:pPr>
        <w:pStyle w:val="4"/>
        <w:spacing w:line="560" w:lineRule="exact"/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090E293E"/>
    <w:rsid w:val="0AF838A6"/>
    <w:rsid w:val="183121A5"/>
    <w:rsid w:val="1C347B54"/>
    <w:rsid w:val="20E93F65"/>
    <w:rsid w:val="2C052E08"/>
    <w:rsid w:val="30371DCF"/>
    <w:rsid w:val="31E35202"/>
    <w:rsid w:val="32A452AC"/>
    <w:rsid w:val="32B53CA7"/>
    <w:rsid w:val="3896792A"/>
    <w:rsid w:val="46A7430E"/>
    <w:rsid w:val="57641558"/>
    <w:rsid w:val="5A6C798B"/>
    <w:rsid w:val="5C861969"/>
    <w:rsid w:val="5C9D6CDA"/>
    <w:rsid w:val="61F335F4"/>
    <w:rsid w:val="76F0487A"/>
    <w:rsid w:val="79D744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1345</Words>
  <Characters>1372</Characters>
  <Lines>0</Lines>
  <Paragraphs>0</Paragraphs>
  <TotalTime>0</TotalTime>
  <ScaleCrop>false</ScaleCrop>
  <LinksUpToDate>false</LinksUpToDate>
  <CharactersWithSpaces>1516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2025-05-27T10:40:34Z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0177810D3BF1401D9626D0508684BCBB_13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