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版本号：ZCBN-省本级-2025-05244、XHLJZC-SX2025-04820250526002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陕西省治超联网管理信息系统升级采购项目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ZCBN-省本级-2025-05244、XHLJZC-SX2025-048</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陕西省治超联网管理信息系统升级采购项目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ZCBN-省本级-2025-05244、XHLJZC-SX2025-048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陕西省治超联网管理信息系统升级采购项目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治超联网信息数据共享与交换系统升级，具体内容详见采购文件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采购包1（陕西省治超联网管理信息系统升级采购项目）：属于专门面向中小企业采购。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029-88408779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029-82513983、029-89183511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说明：1、履约担保的形式：支票、汇票、本票或者金融机构、担保机构出具的保函等非现金形式提交。 2、履约保证金的金额：合同金额的5%。 3、履约保证金交纳时间：发出成交通知书后、签订合同前。 4、履约担保有效期：至服务期满。 5、履约保证金退还时间、条件：在项目验收合格后且无任何纠纷后28日内无息退还。 6、供应商不履行与采购人订立的合同的，履约保证金不予退还，给采购人造成的损失超过履约保证金数额的，还应当对超过部分予以赔偿。</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代理服务费收费标准：按成交金额的0.9%收取。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联系人：孙梦妮</w:t>
      </w:r>
    </w:p>
    <w:p>
      <w:pPr>
        <w:pStyle w:val="null3"/>
      </w:pPr>
      <w:r>
        <w:rPr>
          <w:rFonts w:ascii="仿宋_GB2312" w:hAnsi="仿宋_GB2312" w:cs="仿宋_GB2312" w:eastAsia="仿宋_GB2312"/>
        </w:rPr>
        <w:t>联系电话：029-82513983、029-89183511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陕西省治超联网管理信息系统升级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1,180,000.00</w:t>
      </w:r>
    </w:p>
    <w:p>
      <w:pPr>
        <w:pStyle w:val="null3"/>
      </w:pPr>
      <w:r>
        <w:rPr>
          <w:rFonts w:ascii="仿宋_GB2312" w:hAnsi="仿宋_GB2312" w:cs="仿宋_GB2312" w:eastAsia="仿宋_GB2312"/>
        </w:rPr>
        <w:t>采购包最高限价（元）: 1,180,000.00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陕西省治超联网管理信息系统升级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标的名称：陕西省治超联网管理信息系统升级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一、建设目标</w:t>
            </w:r>
          </w:p>
          <w:p>
            <w:pPr>
              <w:pStyle w:val="null3"/>
              <w:ind w:firstLine="480"/>
              <w:jc w:val="both"/>
            </w:pPr>
            <w:r>
              <w:rPr>
                <w:rFonts w:ascii="仿宋_GB2312" w:hAnsi="仿宋_GB2312" w:cs="仿宋_GB2312" w:eastAsia="仿宋_GB2312"/>
                <w:sz w:val="21"/>
              </w:rPr>
              <w:t>按照交通部联网治超“全国一盘棋、全域一张网”总要求，根据交通运输部最新发布的《治超联网管理信息系统部省数据接口规范》对陕西省治超联网管理信息系统升级，对全省范围内涵盖公路超限检测站（点）、非现场检测点、高速公路收费站、货运源头企业等多个关键节点，通过信息化手段将这些节点治超工作紧密连接在一起，形成一张全面、高效的治超业务网络，实现对货物运输车辆的实时监控和数据分析，有效提升治超工作的整体效能。</w:t>
            </w:r>
          </w:p>
          <w:p>
            <w:pPr>
              <w:pStyle w:val="null3"/>
              <w:ind w:firstLine="482"/>
              <w:jc w:val="both"/>
            </w:pPr>
            <w:r>
              <w:rPr>
                <w:rFonts w:ascii="仿宋_GB2312" w:hAnsi="仿宋_GB2312" w:cs="仿宋_GB2312" w:eastAsia="仿宋_GB2312"/>
                <w:sz w:val="21"/>
                <w:b/>
              </w:rPr>
              <w:t>推动跨部门协同治理</w:t>
            </w:r>
          </w:p>
          <w:p>
            <w:pPr>
              <w:pStyle w:val="null3"/>
              <w:ind w:firstLine="480"/>
              <w:jc w:val="both"/>
            </w:pPr>
            <w:r>
              <w:rPr>
                <w:rFonts w:ascii="仿宋_GB2312" w:hAnsi="仿宋_GB2312" w:cs="仿宋_GB2312" w:eastAsia="仿宋_GB2312"/>
                <w:sz w:val="21"/>
              </w:rPr>
              <w:t>对接公安交警、运管等平台，建立“失信联合惩戒”机制及联合执法机制。</w:t>
            </w:r>
          </w:p>
          <w:p>
            <w:pPr>
              <w:pStyle w:val="null3"/>
              <w:ind w:firstLine="482"/>
              <w:jc w:val="both"/>
            </w:pPr>
            <w:r>
              <w:rPr>
                <w:rFonts w:ascii="仿宋_GB2312" w:hAnsi="仿宋_GB2312" w:cs="仿宋_GB2312" w:eastAsia="仿宋_GB2312"/>
                <w:sz w:val="21"/>
                <w:b/>
              </w:rPr>
              <w:t>业务协同与信息共享</w:t>
            </w:r>
          </w:p>
          <w:p>
            <w:pPr>
              <w:pStyle w:val="null3"/>
              <w:ind w:firstLine="480"/>
              <w:jc w:val="both"/>
            </w:pPr>
            <w:r>
              <w:rPr>
                <w:rFonts w:ascii="仿宋_GB2312" w:hAnsi="仿宋_GB2312" w:cs="仿宋_GB2312" w:eastAsia="仿宋_GB2312"/>
                <w:sz w:val="21"/>
              </w:rPr>
              <w:t>构建统一的数据标准接口，支持行政许可、行政处罚、黑名单等信息跨区域、跨部门调取，实现治超案件“可取证、可抄告、可倒查”的闭环管理。</w:t>
            </w:r>
          </w:p>
          <w:p>
            <w:pPr>
              <w:pStyle w:val="null3"/>
              <w:jc w:val="both"/>
            </w:pPr>
            <w:r>
              <w:rPr>
                <w:rFonts w:ascii="仿宋_GB2312" w:hAnsi="仿宋_GB2312" w:cs="仿宋_GB2312" w:eastAsia="仿宋_GB2312"/>
                <w:sz w:val="21"/>
                <w:b/>
              </w:rPr>
              <w:t>二、建设内容</w:t>
            </w:r>
          </w:p>
          <w:p>
            <w:pPr>
              <w:pStyle w:val="null3"/>
              <w:ind w:firstLine="480"/>
              <w:jc w:val="both"/>
            </w:pPr>
            <w:r>
              <w:rPr>
                <w:rFonts w:ascii="仿宋_GB2312" w:hAnsi="仿宋_GB2312" w:cs="仿宋_GB2312" w:eastAsia="仿宋_GB2312"/>
                <w:sz w:val="21"/>
              </w:rPr>
              <w:t>根据交通部最新发布的《治超联网管理信息系统部省数据接口规范》对陕西省治超联网管理信息系统升级，实现部省数据联网升级。完善部省联网接口，全省范围内涵盖公路超限检测站（点）、非现场检测点、高速公路收费站、货运源头企业等多个关键节点的电子抓拍数据、处理结果、治超处罚案件、联动管理线索及案件、基础信息等在部省两级平台的汇聚。</w:t>
            </w:r>
          </w:p>
          <w:p>
            <w:pPr>
              <w:pStyle w:val="null3"/>
              <w:ind w:firstLine="480"/>
              <w:jc w:val="both"/>
            </w:pPr>
            <w:r>
              <w:rPr>
                <w:rFonts w:ascii="仿宋_GB2312" w:hAnsi="仿宋_GB2312" w:cs="仿宋_GB2312" w:eastAsia="仿宋_GB2312"/>
                <w:sz w:val="21"/>
              </w:rPr>
              <w:t>省级平台从电子抓拍设备接入记录和图片数据，或接收公安交管系统的电子抓拍数据。</w:t>
            </w:r>
          </w:p>
          <w:p>
            <w:pPr>
              <w:pStyle w:val="null3"/>
              <w:ind w:firstLine="480"/>
              <w:jc w:val="both"/>
            </w:pPr>
            <w:r>
              <w:rPr>
                <w:rFonts w:ascii="仿宋_GB2312" w:hAnsi="仿宋_GB2312" w:cs="仿宋_GB2312" w:eastAsia="仿宋_GB2312"/>
                <w:sz w:val="21"/>
              </w:rPr>
              <w:t>公安交管部门共享信息查询接口及查询行为的记录和追溯功能、公安处罚案件信息接收接口、公安交管系统推送的联动管理线索信息接口、违法超限超载货车信息汇总接口升级、实现电子抓拍数据及电子抓拍处理结果等信息获取接口的建设。</w:t>
            </w:r>
          </w:p>
          <w:p>
            <w:pPr>
              <w:pStyle w:val="null3"/>
              <w:jc w:val="both"/>
            </w:pPr>
            <w:r>
              <w:rPr>
                <w:rFonts w:ascii="仿宋_GB2312" w:hAnsi="仿宋_GB2312" w:cs="仿宋_GB2312" w:eastAsia="仿宋_GB2312"/>
                <w:sz w:val="21"/>
                <w:b/>
              </w:rPr>
              <w:t>2.1部省治超联网系统升级</w:t>
            </w:r>
          </w:p>
          <w:p>
            <w:pPr>
              <w:pStyle w:val="null3"/>
              <w:jc w:val="both"/>
            </w:pPr>
            <w:r>
              <w:rPr>
                <w:rFonts w:ascii="仿宋_GB2312" w:hAnsi="仿宋_GB2312" w:cs="仿宋_GB2312" w:eastAsia="仿宋_GB2312"/>
                <w:sz w:val="21"/>
              </w:rPr>
              <w:t>2.1.1称重检测数据信息接口</w:t>
            </w:r>
          </w:p>
          <w:p>
            <w:pPr>
              <w:pStyle w:val="null3"/>
              <w:ind w:firstLine="480"/>
              <w:jc w:val="both"/>
            </w:pPr>
            <w:r>
              <w:rPr>
                <w:rFonts w:ascii="仿宋_GB2312" w:hAnsi="仿宋_GB2312" w:cs="仿宋_GB2312" w:eastAsia="仿宋_GB2312"/>
                <w:sz w:val="21"/>
              </w:rPr>
              <w:t>根据交通运输部最新发布的《治超联网管理信息系统部省数据接口规范》对称重检测数据信息接口升级。汇聚省内所有站点的称重检测数据并上传部治超平台，包括全省范围内涵盖公路超限检测站（点）、非现场检测点、高速公路收费站、货运源头企业等。</w:t>
            </w:r>
          </w:p>
          <w:p>
            <w:pPr>
              <w:pStyle w:val="null3"/>
              <w:jc w:val="both"/>
            </w:pPr>
            <w:r>
              <w:rPr>
                <w:rFonts w:ascii="仿宋_GB2312" w:hAnsi="仿宋_GB2312" w:cs="仿宋_GB2312" w:eastAsia="仿宋_GB2312"/>
                <w:sz w:val="21"/>
              </w:rPr>
              <w:t>2.1.2称重检测图片视频文件信息上传接口</w:t>
            </w:r>
          </w:p>
          <w:p>
            <w:pPr>
              <w:pStyle w:val="null3"/>
              <w:ind w:firstLine="480"/>
              <w:jc w:val="both"/>
            </w:pPr>
            <w:r>
              <w:rPr>
                <w:rFonts w:ascii="仿宋_GB2312" w:hAnsi="仿宋_GB2312" w:cs="仿宋_GB2312" w:eastAsia="仿宋_GB2312"/>
                <w:sz w:val="21"/>
              </w:rPr>
              <w:t>汇聚全省范围内涵盖公路超限检测站（点）、非现场检测点、高速公路收费站、货运源头企业等的称重检测图片视频文件数据并上传部治超平台，包含车头图片、前部45度角照片、侧面照片、车尾照片、车牌特写照片、5秒检测过程视频。</w:t>
            </w:r>
          </w:p>
          <w:p>
            <w:pPr>
              <w:pStyle w:val="null3"/>
              <w:jc w:val="both"/>
            </w:pPr>
            <w:r>
              <w:rPr>
                <w:rFonts w:ascii="仿宋_GB2312" w:hAnsi="仿宋_GB2312" w:cs="仿宋_GB2312" w:eastAsia="仿宋_GB2312"/>
                <w:sz w:val="21"/>
              </w:rPr>
              <w:t>2.1.3新建称重检测图片视频文件信息调阅接口</w:t>
            </w:r>
          </w:p>
          <w:p>
            <w:pPr>
              <w:pStyle w:val="null3"/>
              <w:ind w:firstLine="480"/>
              <w:jc w:val="both"/>
            </w:pPr>
            <w:r>
              <w:rPr>
                <w:rFonts w:ascii="仿宋_GB2312" w:hAnsi="仿宋_GB2312" w:cs="仿宋_GB2312" w:eastAsia="仿宋_GB2312"/>
                <w:sz w:val="21"/>
              </w:rPr>
              <w:t>汇聚包括全省范围内涵盖公路超限检测站（点）、非现场检测点、高速公路收费站、货运源头企业等检测过程的称重检测图片视频文件的调阅接口，为部治超平台提供查询接口，部治超平台可根据“数据唯一标识”调阅称重检测数据对应的图片和视频文件。</w:t>
            </w:r>
          </w:p>
          <w:p>
            <w:pPr>
              <w:pStyle w:val="null3"/>
              <w:jc w:val="both"/>
            </w:pPr>
            <w:r>
              <w:rPr>
                <w:rFonts w:ascii="仿宋_GB2312" w:hAnsi="仿宋_GB2312" w:cs="仿宋_GB2312" w:eastAsia="仿宋_GB2312"/>
                <w:sz w:val="21"/>
              </w:rPr>
              <w:t>2.1.4路面治超案件信息</w:t>
            </w:r>
          </w:p>
          <w:p>
            <w:pPr>
              <w:pStyle w:val="null3"/>
              <w:ind w:firstLine="480"/>
              <w:jc w:val="both"/>
            </w:pPr>
            <w:r>
              <w:rPr>
                <w:rFonts w:ascii="仿宋_GB2312" w:hAnsi="仿宋_GB2312" w:cs="仿宋_GB2312" w:eastAsia="仿宋_GB2312"/>
                <w:sz w:val="21"/>
              </w:rPr>
              <w:t>根据交通运输部最新发布的《治超联网管理信息系统部省数据接口规范》对路面治超案件信息接口升级。汇聚全省范围内所有已经完成处罚的路面治超案件信息并及时上传，包括现场路面治超执法案件（公安部门处罚、交通部门处罚）、非现场路面治超执法案件。上传的案件信息应当与称重检测信息、称重和卸载单（公安部门处罚时）相关联。</w:t>
            </w:r>
          </w:p>
          <w:p>
            <w:pPr>
              <w:pStyle w:val="null3"/>
              <w:jc w:val="both"/>
            </w:pPr>
            <w:r>
              <w:rPr>
                <w:rFonts w:ascii="仿宋_GB2312" w:hAnsi="仿宋_GB2312" w:cs="仿宋_GB2312" w:eastAsia="仿宋_GB2312"/>
                <w:sz w:val="21"/>
              </w:rPr>
              <w:t>2.1.5一超四罚信息</w:t>
            </w:r>
          </w:p>
          <w:p>
            <w:pPr>
              <w:pStyle w:val="null3"/>
              <w:ind w:firstLine="480"/>
              <w:jc w:val="both"/>
            </w:pPr>
            <w:r>
              <w:rPr>
                <w:rFonts w:ascii="仿宋_GB2312" w:hAnsi="仿宋_GB2312" w:cs="仿宋_GB2312" w:eastAsia="仿宋_GB2312"/>
                <w:sz w:val="21"/>
              </w:rPr>
              <w:t>根据交通运输部最新发布的《治超联网管理信息系统部省数据接口规范》对一超四罚信息接口升级。汇聚全省范围内所有已经完成处罚的一超四罚案件信息并实时上传。上传的案件信息应当与对应的路面治超案件信息（可能有多个）相关联。</w:t>
            </w:r>
          </w:p>
          <w:p>
            <w:pPr>
              <w:pStyle w:val="null3"/>
              <w:jc w:val="both"/>
            </w:pPr>
            <w:r>
              <w:rPr>
                <w:rFonts w:ascii="仿宋_GB2312" w:hAnsi="仿宋_GB2312" w:cs="仿宋_GB2312" w:eastAsia="仿宋_GB2312"/>
                <w:sz w:val="21"/>
              </w:rPr>
              <w:t>2.1.6跨省抄告信息</w:t>
            </w:r>
          </w:p>
          <w:p>
            <w:pPr>
              <w:pStyle w:val="null3"/>
              <w:ind w:firstLine="480"/>
              <w:jc w:val="both"/>
            </w:pPr>
            <w:r>
              <w:rPr>
                <w:rFonts w:ascii="仿宋_GB2312" w:hAnsi="仿宋_GB2312" w:cs="仿宋_GB2312" w:eastAsia="仿宋_GB2312"/>
                <w:sz w:val="21"/>
              </w:rPr>
              <w:t>对于需要跨省抄告的案件信息，调用部级系统接口，通过部级系统向目标省份进行抄告。发起案件抄告前，必须先上传对应的路面治超案件信息，上传的案件抄告信息应当与对应的路面治超案件信息相关联。定期（10分钟）查询相应的案件接收反馈信息，定期查询抄告案件涉及的对象是否完成了一超四罚。</w:t>
            </w:r>
          </w:p>
          <w:p>
            <w:pPr>
              <w:pStyle w:val="null3"/>
              <w:jc w:val="both"/>
            </w:pPr>
            <w:r>
              <w:rPr>
                <w:rFonts w:ascii="仿宋_GB2312" w:hAnsi="仿宋_GB2312" w:cs="仿宋_GB2312" w:eastAsia="仿宋_GB2312"/>
                <w:sz w:val="21"/>
              </w:rPr>
              <w:t>2.1.7跨省接收反馈信息</w:t>
            </w:r>
          </w:p>
          <w:p>
            <w:pPr>
              <w:pStyle w:val="null3"/>
              <w:ind w:firstLine="480"/>
              <w:jc w:val="both"/>
            </w:pPr>
            <w:r>
              <w:rPr>
                <w:rFonts w:ascii="仿宋_GB2312" w:hAnsi="仿宋_GB2312" w:cs="仿宋_GB2312" w:eastAsia="仿宋_GB2312"/>
                <w:sz w:val="21"/>
              </w:rPr>
              <w:t>定期（10分钟）在部级系统中查询是否有外省抄告的案件信息，可以根据案件抄告信息中“对应路面治超案件信息的唯一标志ID”，在部级系统中查询路面治超案件信息，核实相关信息。确实属于本省管理、信息无误的应当及时反馈已接收；对不属于本省管理或信息有误等情况应当及时退回，并写明退回原因。</w:t>
            </w:r>
          </w:p>
          <w:p>
            <w:pPr>
              <w:pStyle w:val="null3"/>
              <w:jc w:val="both"/>
            </w:pPr>
            <w:r>
              <w:rPr>
                <w:rFonts w:ascii="仿宋_GB2312" w:hAnsi="仿宋_GB2312" w:cs="仿宋_GB2312" w:eastAsia="仿宋_GB2312"/>
                <w:sz w:val="21"/>
              </w:rPr>
              <w:t>2.1.8失信名单信息</w:t>
            </w:r>
          </w:p>
          <w:p>
            <w:pPr>
              <w:pStyle w:val="null3"/>
              <w:ind w:firstLine="480"/>
              <w:jc w:val="both"/>
            </w:pPr>
            <w:r>
              <w:rPr>
                <w:rFonts w:ascii="仿宋_GB2312" w:hAnsi="仿宋_GB2312" w:cs="仿宋_GB2312" w:eastAsia="仿宋_GB2312"/>
                <w:sz w:val="21"/>
              </w:rPr>
              <w:t>失信名单按照目前管理要求，主要实现每季度失信名单的在线上报。失信名单信息上传前，必须有对应的案件信息。包含车辆超限3次失信名单信息、驾驶人超限3次失信名单信息、运输企业失信名单信息、其他严重失信行为名单信息、失信名单关联案件信息、失信名单确认文件上传。</w:t>
            </w:r>
          </w:p>
          <w:p>
            <w:pPr>
              <w:pStyle w:val="null3"/>
              <w:jc w:val="both"/>
            </w:pPr>
            <w:r>
              <w:rPr>
                <w:rFonts w:ascii="仿宋_GB2312" w:hAnsi="仿宋_GB2312" w:cs="仿宋_GB2312" w:eastAsia="仿宋_GB2312"/>
                <w:sz w:val="21"/>
              </w:rPr>
              <w:t>2.1.9异常称重检测数据处理信息</w:t>
            </w:r>
          </w:p>
          <w:p>
            <w:pPr>
              <w:pStyle w:val="null3"/>
              <w:ind w:firstLine="480"/>
              <w:jc w:val="both"/>
            </w:pPr>
            <w:r>
              <w:rPr>
                <w:rFonts w:ascii="仿宋_GB2312" w:hAnsi="仿宋_GB2312" w:cs="仿宋_GB2312" w:eastAsia="仿宋_GB2312"/>
                <w:sz w:val="21"/>
              </w:rPr>
              <w:t>根据最新的《治超联网管理信息系统部省数据接口规范》从陕西省公路路产保护信息系统、高速收费系统等汇聚全省异常称重检测数据处理信息，并上传部治超平台。</w:t>
            </w:r>
          </w:p>
          <w:p>
            <w:pPr>
              <w:pStyle w:val="null3"/>
              <w:jc w:val="both"/>
            </w:pPr>
            <w:r>
              <w:rPr>
                <w:rFonts w:ascii="仿宋_GB2312" w:hAnsi="仿宋_GB2312" w:cs="仿宋_GB2312" w:eastAsia="仿宋_GB2312"/>
                <w:sz w:val="21"/>
              </w:rPr>
              <w:t>2.1.10大件运输车辆核查信息</w:t>
            </w:r>
          </w:p>
          <w:p>
            <w:pPr>
              <w:pStyle w:val="null3"/>
              <w:ind w:firstLine="480"/>
              <w:jc w:val="both"/>
            </w:pPr>
            <w:r>
              <w:rPr>
                <w:rFonts w:ascii="仿宋_GB2312" w:hAnsi="仿宋_GB2312" w:cs="仿宋_GB2312" w:eastAsia="仿宋_GB2312"/>
                <w:sz w:val="21"/>
              </w:rPr>
              <w:t>根据最新的《治超联网管理信息系统部省数据接口规范》从全省范围内涵盖公路超限检测站（点）、非现场检测点、高速公路收费站、货运源头企业等汇聚全省大件运输车辆核查信息，并上传部治超平台，并为陕西省公路路产保护信息系统共享大件运输车辆核查信息。</w:t>
            </w:r>
          </w:p>
          <w:p>
            <w:pPr>
              <w:pStyle w:val="null3"/>
              <w:jc w:val="both"/>
            </w:pPr>
            <w:r>
              <w:rPr>
                <w:rFonts w:ascii="仿宋_GB2312" w:hAnsi="仿宋_GB2312" w:cs="仿宋_GB2312" w:eastAsia="仿宋_GB2312"/>
                <w:sz w:val="21"/>
              </w:rPr>
              <w:t>2.1.11大件运输车辆途中检查信息</w:t>
            </w:r>
          </w:p>
          <w:p>
            <w:pPr>
              <w:pStyle w:val="null3"/>
              <w:ind w:firstLine="480"/>
              <w:jc w:val="both"/>
            </w:pPr>
            <w:r>
              <w:rPr>
                <w:rFonts w:ascii="仿宋_GB2312" w:hAnsi="仿宋_GB2312" w:cs="仿宋_GB2312" w:eastAsia="仿宋_GB2312"/>
                <w:sz w:val="21"/>
              </w:rPr>
              <w:t>根据最新的《治超联网管理信息系统部省数据接口规范》，从陕西省公路路产保护信息系统、高速收费系统、不停车检测系统等相关系统汇聚大件运输车辆途中检查信息，并上传部治超平台，并为陕西省公路路产保护信息系统共享大件运输车辆核查信息。</w:t>
            </w:r>
          </w:p>
          <w:p>
            <w:pPr>
              <w:pStyle w:val="null3"/>
              <w:jc w:val="both"/>
            </w:pPr>
            <w:r>
              <w:rPr>
                <w:rFonts w:ascii="仿宋_GB2312" w:hAnsi="仿宋_GB2312" w:cs="仿宋_GB2312" w:eastAsia="仿宋_GB2312"/>
                <w:sz w:val="21"/>
              </w:rPr>
              <w:t>2.1.12特殊超限车辆登记数据</w:t>
            </w:r>
          </w:p>
          <w:p>
            <w:pPr>
              <w:pStyle w:val="null3"/>
              <w:ind w:firstLine="480"/>
              <w:jc w:val="both"/>
            </w:pPr>
            <w:r>
              <w:rPr>
                <w:rFonts w:ascii="仿宋_GB2312" w:hAnsi="仿宋_GB2312" w:cs="仿宋_GB2312" w:eastAsia="仿宋_GB2312"/>
                <w:sz w:val="21"/>
              </w:rPr>
              <w:t>根据最新的《治超联网管理信息系统部省数据接口规范》从陕西省公路路产保护信息系统、高速收费系统等相关系统汇聚特殊超限车辆登记数据信息，并上传部治超平台。</w:t>
            </w:r>
          </w:p>
          <w:p>
            <w:pPr>
              <w:pStyle w:val="null3"/>
              <w:jc w:val="both"/>
            </w:pPr>
            <w:r>
              <w:rPr>
                <w:rFonts w:ascii="仿宋_GB2312" w:hAnsi="仿宋_GB2312" w:cs="仿宋_GB2312" w:eastAsia="仿宋_GB2312"/>
                <w:sz w:val="21"/>
              </w:rPr>
              <w:t>2.1.13设备状态消息</w:t>
            </w:r>
          </w:p>
          <w:p>
            <w:pPr>
              <w:pStyle w:val="null3"/>
              <w:ind w:firstLine="480"/>
              <w:jc w:val="both"/>
            </w:pPr>
            <w:r>
              <w:rPr>
                <w:rFonts w:ascii="仿宋_GB2312" w:hAnsi="仿宋_GB2312" w:cs="仿宋_GB2312" w:eastAsia="仿宋_GB2312"/>
                <w:sz w:val="21"/>
              </w:rPr>
              <w:t>根据最新的《治超联网管理信息系统部省数据接口规范》汇聚包括超限检测站、非现场检测点、高速公路入口/出口收费站、货运源头企业的设备状态信息（称重检测设备、视频设备、传感器故障、光栅故障、线圈故障、轮胎识别器故障、通讯故障。），并上传部治超平台。</w:t>
            </w:r>
          </w:p>
          <w:p>
            <w:pPr>
              <w:pStyle w:val="null3"/>
              <w:jc w:val="both"/>
            </w:pPr>
            <w:r>
              <w:rPr>
                <w:rFonts w:ascii="仿宋_GB2312" w:hAnsi="仿宋_GB2312" w:cs="仿宋_GB2312" w:eastAsia="仿宋_GB2312"/>
                <w:sz w:val="21"/>
              </w:rPr>
              <w:t>2.1.14站点状态消息</w:t>
            </w:r>
          </w:p>
          <w:p>
            <w:pPr>
              <w:pStyle w:val="null3"/>
              <w:ind w:firstLine="480"/>
              <w:jc w:val="both"/>
            </w:pPr>
            <w:r>
              <w:rPr>
                <w:rFonts w:ascii="仿宋_GB2312" w:hAnsi="仿宋_GB2312" w:cs="仿宋_GB2312" w:eastAsia="仿宋_GB2312"/>
                <w:sz w:val="21"/>
              </w:rPr>
              <w:t>根据最新的《治超联网管理信息系统部省数据接口规范》汇聚包括超限检测站、非现场检测点、高速公路入口/出口收费站、货运源头企业的状态消息，并上传部治超平台。</w:t>
            </w:r>
          </w:p>
          <w:p>
            <w:pPr>
              <w:pStyle w:val="null3"/>
              <w:jc w:val="both"/>
            </w:pPr>
            <w:r>
              <w:rPr>
                <w:rFonts w:ascii="仿宋_GB2312" w:hAnsi="仿宋_GB2312" w:cs="仿宋_GB2312" w:eastAsia="仿宋_GB2312"/>
                <w:sz w:val="21"/>
              </w:rPr>
              <w:t>2.1.15省级系统状态消息</w:t>
            </w:r>
          </w:p>
          <w:p>
            <w:pPr>
              <w:pStyle w:val="null3"/>
              <w:ind w:firstLine="480"/>
              <w:jc w:val="both"/>
            </w:pPr>
            <w:r>
              <w:rPr>
                <w:rFonts w:ascii="仿宋_GB2312" w:hAnsi="仿宋_GB2312" w:cs="仿宋_GB2312" w:eastAsia="仿宋_GB2312"/>
                <w:sz w:val="21"/>
              </w:rPr>
              <w:t>根据最新的《治超联网管理信息系统部省数据接口规范》汇聚省级治超系统的状态消息，并上传部治超平台。</w:t>
            </w:r>
          </w:p>
          <w:p>
            <w:pPr>
              <w:pStyle w:val="null3"/>
              <w:jc w:val="both"/>
            </w:pPr>
            <w:r>
              <w:rPr>
                <w:rFonts w:ascii="仿宋_GB2312" w:hAnsi="仿宋_GB2312" w:cs="仿宋_GB2312" w:eastAsia="仿宋_GB2312"/>
                <w:sz w:val="21"/>
              </w:rPr>
              <w:t>2.1.16道路运输车辆信息查询接口</w:t>
            </w:r>
          </w:p>
          <w:p>
            <w:pPr>
              <w:pStyle w:val="null3"/>
              <w:ind w:firstLine="480"/>
              <w:jc w:val="both"/>
            </w:pPr>
            <w:r>
              <w:rPr>
                <w:rFonts w:ascii="仿宋_GB2312" w:hAnsi="仿宋_GB2312" w:cs="仿宋_GB2312" w:eastAsia="仿宋_GB2312"/>
                <w:sz w:val="21"/>
              </w:rPr>
              <w:t xml:space="preserve">从部级系统查询道路运输车辆信息接口，为省内其他需求此项内容的相关系统提供查询接口。                 </w:t>
            </w:r>
          </w:p>
          <w:p>
            <w:pPr>
              <w:pStyle w:val="null3"/>
              <w:jc w:val="both"/>
            </w:pPr>
            <w:r>
              <w:rPr>
                <w:rFonts w:ascii="仿宋_GB2312" w:hAnsi="仿宋_GB2312" w:cs="仿宋_GB2312" w:eastAsia="仿宋_GB2312"/>
                <w:sz w:val="21"/>
              </w:rPr>
              <w:t>2.1.17道路运输经营业户信息查询接口</w:t>
            </w:r>
          </w:p>
          <w:p>
            <w:pPr>
              <w:pStyle w:val="null3"/>
              <w:ind w:firstLine="480"/>
              <w:jc w:val="both"/>
            </w:pPr>
            <w:r>
              <w:rPr>
                <w:rFonts w:ascii="仿宋_GB2312" w:hAnsi="仿宋_GB2312" w:cs="仿宋_GB2312" w:eastAsia="仿宋_GB2312"/>
                <w:sz w:val="21"/>
              </w:rPr>
              <w:t>从部级系统查询道路经营业户信息接口，为省内其他需求此项内容的相关系统提供查询接口。</w:t>
            </w:r>
          </w:p>
          <w:p>
            <w:pPr>
              <w:pStyle w:val="null3"/>
              <w:jc w:val="both"/>
            </w:pPr>
            <w:r>
              <w:rPr>
                <w:rFonts w:ascii="仿宋_GB2312" w:hAnsi="仿宋_GB2312" w:cs="仿宋_GB2312" w:eastAsia="仿宋_GB2312"/>
                <w:sz w:val="21"/>
              </w:rPr>
              <w:t>2.1.18道路运输从业人员信息查询接口</w:t>
            </w:r>
          </w:p>
          <w:p>
            <w:pPr>
              <w:pStyle w:val="null3"/>
              <w:ind w:firstLine="480"/>
              <w:jc w:val="both"/>
            </w:pPr>
            <w:r>
              <w:rPr>
                <w:rFonts w:ascii="仿宋_GB2312" w:hAnsi="仿宋_GB2312" w:cs="仿宋_GB2312" w:eastAsia="仿宋_GB2312"/>
                <w:sz w:val="21"/>
              </w:rPr>
              <w:t>从部级系统查询道路从业人员信息接口，为省内其他需求此项内容的相关系统提供查询接口。</w:t>
            </w:r>
          </w:p>
          <w:p>
            <w:pPr>
              <w:pStyle w:val="null3"/>
              <w:jc w:val="both"/>
            </w:pPr>
            <w:r>
              <w:rPr>
                <w:rFonts w:ascii="仿宋_GB2312" w:hAnsi="仿宋_GB2312" w:cs="仿宋_GB2312" w:eastAsia="仿宋_GB2312"/>
                <w:sz w:val="21"/>
                <w:b/>
              </w:rPr>
              <w:t>2.2电子抓拍系统联网协同</w:t>
            </w:r>
          </w:p>
          <w:p>
            <w:pPr>
              <w:pStyle w:val="null3"/>
              <w:ind w:firstLine="480"/>
              <w:jc w:val="both"/>
            </w:pPr>
            <w:r>
              <w:rPr>
                <w:rFonts w:ascii="仿宋_GB2312" w:hAnsi="仿宋_GB2312" w:cs="仿宋_GB2312" w:eastAsia="仿宋_GB2312"/>
                <w:sz w:val="21"/>
              </w:rPr>
              <w:t>治超系统从超限检测站电子抓拍设备获取电子抓拍信息，或者公安交管系统推送电子抓拍信息至治超系统；接收电子抓拍处理结果数据。</w:t>
            </w:r>
          </w:p>
          <w:p>
            <w:pPr>
              <w:pStyle w:val="null3"/>
              <w:jc w:val="both"/>
            </w:pPr>
            <w:r>
              <w:rPr>
                <w:rFonts w:ascii="仿宋_GB2312" w:hAnsi="仿宋_GB2312" w:cs="仿宋_GB2312" w:eastAsia="仿宋_GB2312"/>
                <w:sz w:val="21"/>
              </w:rPr>
              <w:t>2.2.1电子抓拍数据</w:t>
            </w:r>
          </w:p>
          <w:p>
            <w:pPr>
              <w:pStyle w:val="null3"/>
              <w:ind w:firstLine="480"/>
              <w:jc w:val="both"/>
            </w:pPr>
            <w:r>
              <w:rPr>
                <w:rFonts w:ascii="仿宋_GB2312" w:hAnsi="仿宋_GB2312" w:cs="仿宋_GB2312" w:eastAsia="仿宋_GB2312"/>
                <w:sz w:val="21"/>
              </w:rPr>
              <w:t>新增电子抓拍数据接收功能。</w:t>
            </w:r>
          </w:p>
          <w:p>
            <w:pPr>
              <w:pStyle w:val="null3"/>
              <w:ind w:firstLine="480"/>
              <w:jc w:val="both"/>
            </w:pPr>
            <w:r>
              <w:rPr>
                <w:rFonts w:ascii="仿宋_GB2312" w:hAnsi="仿宋_GB2312" w:cs="仿宋_GB2312" w:eastAsia="仿宋_GB2312"/>
                <w:sz w:val="21"/>
              </w:rPr>
              <w:t>部级平台能从公安交管系统接收电子抓拍数据。省级平台从电子抓拍设备接入记录和图片数据，或接收公安交管系统的电子抓拍数据。</w:t>
            </w:r>
          </w:p>
          <w:p>
            <w:pPr>
              <w:pStyle w:val="null3"/>
              <w:ind w:firstLine="480"/>
              <w:jc w:val="both"/>
            </w:pPr>
            <w:r>
              <w:rPr>
                <w:rFonts w:ascii="仿宋_GB2312" w:hAnsi="仿宋_GB2312" w:cs="仿宋_GB2312" w:eastAsia="仿宋_GB2312"/>
                <w:sz w:val="21"/>
              </w:rPr>
              <w:t>记录数据应当长期存储，图片数据存储不少于 90天。</w:t>
            </w:r>
          </w:p>
          <w:p>
            <w:pPr>
              <w:pStyle w:val="null3"/>
              <w:jc w:val="both"/>
            </w:pPr>
            <w:r>
              <w:rPr>
                <w:rFonts w:ascii="仿宋_GB2312" w:hAnsi="仿宋_GB2312" w:cs="仿宋_GB2312" w:eastAsia="仿宋_GB2312"/>
                <w:sz w:val="21"/>
              </w:rPr>
              <w:t>2.2.2电子抓拍数据关联案件信息</w:t>
            </w:r>
          </w:p>
          <w:p>
            <w:pPr>
              <w:pStyle w:val="null3"/>
              <w:ind w:firstLine="480"/>
              <w:jc w:val="both"/>
            </w:pPr>
            <w:r>
              <w:rPr>
                <w:rFonts w:ascii="仿宋_GB2312" w:hAnsi="仿宋_GB2312" w:cs="仿宋_GB2312" w:eastAsia="仿宋_GB2312"/>
                <w:sz w:val="21"/>
              </w:rPr>
              <w:t>治超系统应根据电子抓拍处理结果的更新时间，及时更新电子抓拍案件信息。</w:t>
            </w:r>
          </w:p>
          <w:p>
            <w:pPr>
              <w:pStyle w:val="null3"/>
              <w:jc w:val="both"/>
            </w:pPr>
            <w:r>
              <w:rPr>
                <w:rFonts w:ascii="仿宋_GB2312" w:hAnsi="仿宋_GB2312" w:cs="仿宋_GB2312" w:eastAsia="仿宋_GB2312"/>
                <w:sz w:val="21"/>
                <w:b/>
              </w:rPr>
              <w:t>2.3定点联合执法信息联网协同</w:t>
            </w:r>
          </w:p>
          <w:p>
            <w:pPr>
              <w:pStyle w:val="null3"/>
              <w:ind w:firstLine="480"/>
              <w:jc w:val="both"/>
            </w:pPr>
            <w:r>
              <w:rPr>
                <w:rFonts w:ascii="仿宋_GB2312" w:hAnsi="仿宋_GB2312" w:cs="仿宋_GB2312" w:eastAsia="仿宋_GB2312"/>
                <w:sz w:val="21"/>
              </w:rPr>
              <w:t>治超系统向公安交管系统提供称重和卸载单信息；公安交管系统向治超系统提供治超处罚案件信息。</w:t>
            </w:r>
          </w:p>
          <w:p>
            <w:pPr>
              <w:pStyle w:val="null3"/>
              <w:jc w:val="both"/>
            </w:pPr>
            <w:r>
              <w:rPr>
                <w:rFonts w:ascii="仿宋_GB2312" w:hAnsi="仿宋_GB2312" w:cs="仿宋_GB2312" w:eastAsia="仿宋_GB2312"/>
                <w:sz w:val="21"/>
              </w:rPr>
              <w:t>2.3.1称重和卸载单信息</w:t>
            </w:r>
          </w:p>
          <w:p>
            <w:pPr>
              <w:pStyle w:val="null3"/>
              <w:ind w:firstLine="480"/>
              <w:jc w:val="both"/>
            </w:pPr>
            <w:r>
              <w:rPr>
                <w:rFonts w:ascii="仿宋_GB2312" w:hAnsi="仿宋_GB2312" w:cs="仿宋_GB2312" w:eastAsia="仿宋_GB2312"/>
                <w:sz w:val="21"/>
              </w:rPr>
              <w:t>对于违法超限超载货车，省级平台应汇总称重检测系统的车辆最大允许总质量、卸载前车货总质量、卸载后车货总质量、超限超载比例等信息；共享驾驶员、运政人车户等基础数据，采集并核实驾驶员货车、道路运输企业、车辆装货场所、证件发放地和经营地等相关信息，制作称重和卸载单，并推送至公安交管系统。称重和卸载单的编号应当符合统一的编码规则，确保全国唯一。省级平台支持将称重和卸载单信息生成二维码，公安交管部门可以使用警务通扫描二维码快速获取称重和卸载单信息。</w:t>
            </w:r>
          </w:p>
          <w:p>
            <w:pPr>
              <w:pStyle w:val="null3"/>
              <w:jc w:val="both"/>
            </w:pPr>
            <w:r>
              <w:rPr>
                <w:rFonts w:ascii="仿宋_GB2312" w:hAnsi="仿宋_GB2312" w:cs="仿宋_GB2312" w:eastAsia="仿宋_GB2312"/>
                <w:sz w:val="21"/>
              </w:rPr>
              <w:t>2.3.2处罚案件信息</w:t>
            </w:r>
          </w:p>
          <w:p>
            <w:pPr>
              <w:pStyle w:val="null3"/>
              <w:ind w:firstLine="480"/>
              <w:jc w:val="both"/>
            </w:pPr>
            <w:r>
              <w:rPr>
                <w:rFonts w:ascii="仿宋_GB2312" w:hAnsi="仿宋_GB2312" w:cs="仿宋_GB2312" w:eastAsia="仿宋_GB2312"/>
                <w:sz w:val="21"/>
              </w:rPr>
              <w:t>增加公安交管部门处罚完成后，处罚案件信息接收接口。</w:t>
            </w:r>
          </w:p>
          <w:p>
            <w:pPr>
              <w:pStyle w:val="null3"/>
              <w:jc w:val="both"/>
            </w:pPr>
            <w:r>
              <w:rPr>
                <w:rFonts w:ascii="仿宋_GB2312" w:hAnsi="仿宋_GB2312" w:cs="仿宋_GB2312" w:eastAsia="仿宋_GB2312"/>
                <w:sz w:val="21"/>
                <w:b/>
              </w:rPr>
              <w:t>2.4联动管理信息联网协同</w:t>
            </w:r>
          </w:p>
          <w:p>
            <w:pPr>
              <w:pStyle w:val="null3"/>
              <w:ind w:firstLine="480"/>
              <w:jc w:val="both"/>
            </w:pPr>
            <w:r>
              <w:rPr>
                <w:rFonts w:ascii="仿宋_GB2312" w:hAnsi="仿宋_GB2312" w:cs="仿宋_GB2312" w:eastAsia="仿宋_GB2312"/>
                <w:sz w:val="21"/>
              </w:rPr>
              <w:t>省级平台应接收公安交管系统推送的联动管理线索信息，确实属于本部门管理、信息无误的应当及时反馈已接收。信息接收后应及时启动立案调查程序，并反馈公安交管系统。对不属于本辖区、本部门管理，或信息有误等情况治超系统应及时退回，并反馈退回原因。</w:t>
            </w:r>
          </w:p>
          <w:p>
            <w:pPr>
              <w:pStyle w:val="null3"/>
              <w:jc w:val="both"/>
            </w:pPr>
            <w:r>
              <w:rPr>
                <w:rFonts w:ascii="仿宋_GB2312" w:hAnsi="仿宋_GB2312" w:cs="仿宋_GB2312" w:eastAsia="仿宋_GB2312"/>
                <w:sz w:val="21"/>
              </w:rPr>
              <w:t>2.4.1联动管理线索信息查询接口</w:t>
            </w:r>
          </w:p>
          <w:p>
            <w:pPr>
              <w:pStyle w:val="null3"/>
              <w:ind w:firstLine="480"/>
              <w:jc w:val="both"/>
            </w:pPr>
            <w:r>
              <w:rPr>
                <w:rFonts w:ascii="仿宋_GB2312" w:hAnsi="仿宋_GB2312" w:cs="仿宋_GB2312" w:eastAsia="仿宋_GB2312"/>
                <w:sz w:val="21"/>
              </w:rPr>
              <w:t>公安交管系统将治超处罚案件信息汇总至发证地、所在地后，按照“联动管理”业务规则，生成联动管理案件线索信息（分为驾驶员、货车道路运输企业、货物装载源头企业4类，每条记录中包含其中一类），治超平台可根据查询接口进行联动管理线索信息查询。</w:t>
            </w:r>
          </w:p>
          <w:p>
            <w:pPr>
              <w:pStyle w:val="null3"/>
              <w:jc w:val="both"/>
            </w:pPr>
            <w:r>
              <w:rPr>
                <w:rFonts w:ascii="仿宋_GB2312" w:hAnsi="仿宋_GB2312" w:cs="仿宋_GB2312" w:eastAsia="仿宋_GB2312"/>
                <w:sz w:val="21"/>
              </w:rPr>
              <w:t>2.4.2关联治超案件查询接口</w:t>
            </w:r>
          </w:p>
          <w:p>
            <w:pPr>
              <w:pStyle w:val="null3"/>
              <w:ind w:firstLine="480"/>
              <w:jc w:val="both"/>
            </w:pPr>
            <w:r>
              <w:rPr>
                <w:rFonts w:ascii="仿宋_GB2312" w:hAnsi="仿宋_GB2312" w:cs="仿宋_GB2312" w:eastAsia="仿宋_GB2312"/>
                <w:sz w:val="21"/>
              </w:rPr>
              <w:t>对于每一条“联动管理线索信息”，提供关联的治超案件信息查询。</w:t>
            </w:r>
          </w:p>
          <w:p>
            <w:pPr>
              <w:pStyle w:val="null3"/>
              <w:jc w:val="both"/>
            </w:pPr>
            <w:r>
              <w:rPr>
                <w:rFonts w:ascii="仿宋_GB2312" w:hAnsi="仿宋_GB2312" w:cs="仿宋_GB2312" w:eastAsia="仿宋_GB2312"/>
                <w:sz w:val="21"/>
              </w:rPr>
              <w:t>2.4.3联动管理反馈</w:t>
            </w:r>
          </w:p>
          <w:p>
            <w:pPr>
              <w:pStyle w:val="null3"/>
              <w:ind w:firstLine="480"/>
              <w:jc w:val="both"/>
            </w:pPr>
            <w:r>
              <w:rPr>
                <w:rFonts w:ascii="仿宋_GB2312" w:hAnsi="仿宋_GB2312" w:cs="仿宋_GB2312" w:eastAsia="仿宋_GB2312"/>
                <w:sz w:val="21"/>
              </w:rPr>
              <w:t>对于“联动管理线索信息”，接收地交通运输执法部门应当进行审核对属于本辖区本部门职责范围且抄送信息齐全、无误的信息，“处置结果应当返回“已接收”。对不属于本辖区、本部门管理，或信息缺失、有误的，“处置结果”应当返回“退回”，并在“退回原因说明”中进行说明。案件“立案”、“已处罚”后均应当及时反馈相关信息，并上传“联动管理”处理结果信息。</w:t>
            </w:r>
          </w:p>
          <w:p>
            <w:pPr>
              <w:pStyle w:val="null3"/>
              <w:jc w:val="both"/>
            </w:pPr>
            <w:r>
              <w:rPr>
                <w:rFonts w:ascii="仿宋_GB2312" w:hAnsi="仿宋_GB2312" w:cs="仿宋_GB2312" w:eastAsia="仿宋_GB2312"/>
                <w:sz w:val="21"/>
                <w:b/>
              </w:rPr>
              <w:t>2.5基础信息共享</w:t>
            </w:r>
          </w:p>
          <w:p>
            <w:pPr>
              <w:pStyle w:val="null3"/>
              <w:ind w:firstLine="480"/>
              <w:jc w:val="both"/>
            </w:pPr>
            <w:r>
              <w:rPr>
                <w:rFonts w:ascii="仿宋_GB2312" w:hAnsi="仿宋_GB2312" w:cs="仿宋_GB2312" w:eastAsia="仿宋_GB2312"/>
                <w:sz w:val="21"/>
              </w:rPr>
              <w:t>提供全国道路货运“人车户”基础信息查询；</w:t>
            </w:r>
          </w:p>
          <w:p>
            <w:pPr>
              <w:pStyle w:val="null3"/>
              <w:ind w:firstLine="480"/>
              <w:jc w:val="both"/>
            </w:pPr>
            <w:r>
              <w:rPr>
                <w:rFonts w:ascii="仿宋_GB2312" w:hAnsi="仿宋_GB2312" w:cs="仿宋_GB2312" w:eastAsia="仿宋_GB2312"/>
                <w:sz w:val="21"/>
              </w:rPr>
              <w:t>公安交管系统提供指定字段的货车注册登记信息、驾驶员注册登记信息查询。</w:t>
            </w:r>
          </w:p>
          <w:p>
            <w:pPr>
              <w:pStyle w:val="null3"/>
              <w:jc w:val="both"/>
            </w:pPr>
            <w:r>
              <w:rPr>
                <w:rFonts w:ascii="仿宋_GB2312" w:hAnsi="仿宋_GB2312" w:cs="仿宋_GB2312" w:eastAsia="仿宋_GB2312"/>
                <w:sz w:val="21"/>
              </w:rPr>
              <w:t>2.5.1查询权限信息</w:t>
            </w:r>
          </w:p>
          <w:p>
            <w:pPr>
              <w:pStyle w:val="null3"/>
              <w:ind w:firstLine="480"/>
              <w:jc w:val="both"/>
            </w:pPr>
            <w:r>
              <w:rPr>
                <w:rFonts w:ascii="仿宋_GB2312" w:hAnsi="仿宋_GB2312" w:cs="仿宋_GB2312" w:eastAsia="仿宋_GB2312"/>
                <w:sz w:val="21"/>
              </w:rPr>
              <w:t>对查询货车、驾驶员注册登记信息应合理限制查询权限，治超系统应具备查询行为的记录和追溯功能，能够对每一次查询行为进行记录，查询页面应附带查询人的身份信息水印，确保信息访问可追溯。</w:t>
            </w:r>
          </w:p>
          <w:p>
            <w:pPr>
              <w:pStyle w:val="null3"/>
              <w:jc w:val="both"/>
            </w:pPr>
            <w:r>
              <w:rPr>
                <w:rFonts w:ascii="仿宋_GB2312" w:hAnsi="仿宋_GB2312" w:cs="仿宋_GB2312" w:eastAsia="仿宋_GB2312"/>
                <w:sz w:val="21"/>
              </w:rPr>
              <w:t>2.5.2货车注册登记信息查询接口</w:t>
            </w:r>
          </w:p>
          <w:p>
            <w:pPr>
              <w:pStyle w:val="null3"/>
              <w:ind w:firstLine="480"/>
              <w:jc w:val="both"/>
            </w:pPr>
            <w:r>
              <w:rPr>
                <w:rFonts w:ascii="仿宋_GB2312" w:hAnsi="仿宋_GB2312" w:cs="仿宋_GB2312" w:eastAsia="仿宋_GB2312"/>
                <w:sz w:val="21"/>
              </w:rPr>
              <w:t>增加货车注册登记信息查询接口，可对其他相关系统共享。</w:t>
            </w:r>
          </w:p>
          <w:p>
            <w:pPr>
              <w:pStyle w:val="null3"/>
              <w:jc w:val="both"/>
            </w:pPr>
            <w:r>
              <w:rPr>
                <w:rFonts w:ascii="仿宋_GB2312" w:hAnsi="仿宋_GB2312" w:cs="仿宋_GB2312" w:eastAsia="仿宋_GB2312"/>
                <w:sz w:val="21"/>
              </w:rPr>
              <w:t>2.5.3驾驶员注册登记信息查询接口</w:t>
            </w:r>
          </w:p>
          <w:p>
            <w:pPr>
              <w:pStyle w:val="null3"/>
              <w:ind w:firstLine="480"/>
              <w:jc w:val="both"/>
            </w:pPr>
            <w:r>
              <w:rPr>
                <w:rFonts w:ascii="仿宋_GB2312" w:hAnsi="仿宋_GB2312" w:cs="仿宋_GB2312" w:eastAsia="仿宋_GB2312"/>
                <w:sz w:val="21"/>
              </w:rPr>
              <w:t>增加驾驶员注册登记信息查询接口，可对其他相关系统共享。</w:t>
            </w:r>
          </w:p>
          <w:p>
            <w:pPr>
              <w:pStyle w:val="null3"/>
              <w:jc w:val="both"/>
            </w:pPr>
            <w:r>
              <w:rPr>
                <w:rFonts w:ascii="仿宋_GB2312" w:hAnsi="仿宋_GB2312" w:cs="仿宋_GB2312" w:eastAsia="仿宋_GB2312"/>
                <w:sz w:val="21"/>
                <w:b/>
              </w:rPr>
              <w:t>三、支撑环境</w:t>
            </w:r>
          </w:p>
          <w:p>
            <w:pPr>
              <w:pStyle w:val="null3"/>
              <w:ind w:firstLine="480"/>
              <w:jc w:val="both"/>
            </w:pPr>
            <w:r>
              <w:rPr>
                <w:rFonts w:ascii="仿宋_GB2312" w:hAnsi="仿宋_GB2312" w:cs="仿宋_GB2312" w:eastAsia="仿宋_GB2312"/>
                <w:sz w:val="21"/>
              </w:rPr>
              <w:t>服务器环境： 国产信创服务器</w:t>
            </w:r>
          </w:p>
          <w:p>
            <w:pPr>
              <w:pStyle w:val="null3"/>
              <w:ind w:firstLine="480"/>
              <w:jc w:val="both"/>
            </w:pPr>
            <w:r>
              <w:rPr>
                <w:rFonts w:ascii="仿宋_GB2312" w:hAnsi="仿宋_GB2312" w:cs="仿宋_GB2312" w:eastAsia="仿宋_GB2312"/>
                <w:sz w:val="21"/>
              </w:rPr>
              <w:t>数据库环境：达梦数据库</w:t>
            </w:r>
          </w:p>
          <w:p>
            <w:pPr>
              <w:pStyle w:val="null3"/>
              <w:ind w:firstLine="480"/>
              <w:jc w:val="both"/>
            </w:pPr>
            <w:r>
              <w:rPr>
                <w:rFonts w:ascii="仿宋_GB2312" w:hAnsi="仿宋_GB2312" w:cs="仿宋_GB2312" w:eastAsia="仿宋_GB2312"/>
                <w:sz w:val="21"/>
              </w:rPr>
              <w:t>网络环境：交通专网/政务外网环境</w:t>
            </w:r>
          </w:p>
          <w:p>
            <w:pPr>
              <w:pStyle w:val="null3"/>
              <w:jc w:val="both"/>
            </w:pPr>
            <w:r>
              <w:rPr>
                <w:rFonts w:ascii="仿宋_GB2312" w:hAnsi="仿宋_GB2312" w:cs="仿宋_GB2312" w:eastAsia="仿宋_GB2312"/>
                <w:sz w:val="21"/>
                <w:b/>
              </w:rPr>
              <w:t>四、技术要求</w:t>
            </w:r>
          </w:p>
          <w:p>
            <w:pPr>
              <w:pStyle w:val="null3"/>
              <w:jc w:val="left"/>
            </w:pPr>
            <w:r>
              <w:rPr>
                <w:rFonts w:ascii="仿宋_GB2312" w:hAnsi="仿宋_GB2312" w:cs="仿宋_GB2312" w:eastAsia="仿宋_GB2312"/>
                <w:sz w:val="21"/>
              </w:rPr>
              <w:t>4.1数据交换技术要求</w:t>
            </w:r>
          </w:p>
          <w:p>
            <w:pPr>
              <w:pStyle w:val="null3"/>
              <w:ind w:firstLine="480"/>
              <w:jc w:val="left"/>
            </w:pPr>
            <w:r>
              <w:rPr>
                <w:rFonts w:ascii="仿宋_GB2312" w:hAnsi="仿宋_GB2312" w:cs="仿宋_GB2312" w:eastAsia="仿宋_GB2312"/>
                <w:sz w:val="21"/>
              </w:rPr>
              <w:t>兼容国产CPU架构（龙芯、鲲鹏、飞腾等）和操作系统（统信UOS、麒麟OS等），数据库适配达梦、金仓等国产数据库。</w:t>
            </w:r>
          </w:p>
          <w:p>
            <w:pPr>
              <w:pStyle w:val="null3"/>
              <w:jc w:val="left"/>
            </w:pPr>
            <w:r>
              <w:rPr>
                <w:rFonts w:ascii="仿宋_GB2312" w:hAnsi="仿宋_GB2312" w:cs="仿宋_GB2312" w:eastAsia="仿宋_GB2312"/>
                <w:sz w:val="21"/>
              </w:rPr>
              <w:t>4.2数据交换机制</w:t>
            </w:r>
          </w:p>
          <w:p>
            <w:pPr>
              <w:pStyle w:val="null3"/>
              <w:ind w:firstLine="480"/>
              <w:jc w:val="both"/>
            </w:pPr>
            <w:r>
              <w:rPr>
                <w:rFonts w:ascii="仿宋_GB2312" w:hAnsi="仿宋_GB2312" w:cs="仿宋_GB2312" w:eastAsia="仿宋_GB2312"/>
                <w:sz w:val="21"/>
              </w:rPr>
              <w:t>要保障系统之间数据交换的及时性、完整性和安全性，设计完善可靠的数据交互机制，是业务正常运行的核心，数据交换机制主要包含3个方面的内容：</w:t>
            </w:r>
          </w:p>
          <w:p>
            <w:pPr>
              <w:pStyle w:val="null3"/>
              <w:jc w:val="both"/>
            </w:pPr>
            <w:r>
              <w:rPr>
                <w:rFonts w:ascii="仿宋_GB2312" w:hAnsi="仿宋_GB2312" w:cs="仿宋_GB2312" w:eastAsia="仿宋_GB2312"/>
                <w:sz w:val="21"/>
              </w:rPr>
              <w:t>4.2.1及时性保证机制</w:t>
            </w:r>
          </w:p>
          <w:p>
            <w:pPr>
              <w:pStyle w:val="null3"/>
              <w:ind w:firstLine="480"/>
              <w:jc w:val="both"/>
            </w:pPr>
            <w:r>
              <w:rPr>
                <w:rFonts w:ascii="仿宋_GB2312" w:hAnsi="仿宋_GB2312" w:cs="仿宋_GB2312" w:eastAsia="仿宋_GB2312"/>
                <w:sz w:val="21"/>
              </w:rPr>
              <w:t>正常运行，按照定时索取规则，对部级系统交换接口进行轮询，发现分发给自己的消息立即发起索取操作，接收完成后回复接收确认消息。</w:t>
            </w:r>
          </w:p>
          <w:p>
            <w:pPr>
              <w:pStyle w:val="null3"/>
              <w:jc w:val="both"/>
            </w:pPr>
            <w:r>
              <w:rPr>
                <w:rFonts w:ascii="仿宋_GB2312" w:hAnsi="仿宋_GB2312" w:cs="仿宋_GB2312" w:eastAsia="仿宋_GB2312"/>
                <w:sz w:val="21"/>
              </w:rPr>
              <w:t>4.2.2完整性保证机制</w:t>
            </w:r>
          </w:p>
          <w:p>
            <w:pPr>
              <w:pStyle w:val="null3"/>
              <w:ind w:firstLine="480"/>
              <w:jc w:val="both"/>
            </w:pPr>
            <w:r>
              <w:rPr>
                <w:rFonts w:ascii="仿宋_GB2312" w:hAnsi="仿宋_GB2312" w:cs="仿宋_GB2312" w:eastAsia="仿宋_GB2312"/>
                <w:sz w:val="21"/>
              </w:rPr>
              <w:t>数据交换采用SM4算法，用于提供消息的完整性校验。敏感数据需实施动态脱敏和访问控制，结合身份鉴别与最小权限原则，确保仅授权用户可操作</w:t>
            </w:r>
          </w:p>
          <w:p>
            <w:pPr>
              <w:pStyle w:val="null3"/>
              <w:jc w:val="both"/>
            </w:pPr>
            <w:r>
              <w:rPr>
                <w:rFonts w:ascii="仿宋_GB2312" w:hAnsi="仿宋_GB2312" w:cs="仿宋_GB2312" w:eastAsia="仿宋_GB2312"/>
                <w:sz w:val="21"/>
              </w:rPr>
              <w:t>4.2.3安全性保证机制</w:t>
            </w:r>
          </w:p>
          <w:p>
            <w:pPr>
              <w:pStyle w:val="null3"/>
              <w:ind w:firstLine="480"/>
              <w:jc w:val="both"/>
            </w:pPr>
            <w:r>
              <w:rPr>
                <w:rFonts w:ascii="仿宋_GB2312" w:hAnsi="仿宋_GB2312" w:cs="仿宋_GB2312" w:eastAsia="仿宋_GB2312"/>
                <w:sz w:val="21"/>
              </w:rPr>
              <w:t>数据交换采用HTTP技术，并对省级交换平台进行身份认证，实现消息的安全传输。</w:t>
            </w:r>
          </w:p>
          <w:p>
            <w:pPr>
              <w:pStyle w:val="null3"/>
              <w:jc w:val="both"/>
            </w:pPr>
            <w:r>
              <w:rPr>
                <w:rFonts w:ascii="仿宋_GB2312" w:hAnsi="仿宋_GB2312" w:cs="仿宋_GB2312" w:eastAsia="仿宋_GB2312"/>
                <w:sz w:val="21"/>
                <w:b/>
              </w:rPr>
              <w:t>五、实施要求</w:t>
            </w:r>
          </w:p>
          <w:p>
            <w:pPr>
              <w:pStyle w:val="null3"/>
              <w:jc w:val="both"/>
            </w:pPr>
            <w:r>
              <w:rPr>
                <w:rFonts w:ascii="仿宋_GB2312" w:hAnsi="仿宋_GB2312" w:cs="仿宋_GB2312" w:eastAsia="仿宋_GB2312"/>
                <w:sz w:val="21"/>
              </w:rPr>
              <w:t>实施地点：陕西省西安市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陕西省公路局指定地点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验收方式、验收依据及验收标准： （1）由供应商进行自检，自检合格后准备验收文件并书面通知采购人。采购人确认供应商完成合同约定所有内容后，组织供应商(必要时请有关专家)进行项目验收，验收合格后，填写项目验收单作为对项目的最终认可。验收不合格的，限期整改，整改过程中产生的费用和发生的一切损失由供应商承担：整改超过二次的，采购人有权单方解除本合同，供应商应无条件退还已收取的全部合同价款，并按合同总价5%向采购人支付违约金，违约金不足弥补采购人损失的，由供应商负责赔偿。 （2）供应商向采购人提交项目实施过程中的所有资料，以便采购人日后管理和维护该项目。 （3）验收依据 ①竞争性磋商文件、竞争性磋商响应文件、澄清表(函)； ②本合同及附件文本； （4）国家相应的办法、标准、规范。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2025年12月份前收到发票后，完成合同约定条款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1.1甲方逾期付款，应就逾期部分向乙方支付按照中国人民银行规定的同期贷款基准利率计算的逾期付款违约金； 1.2甲方违反合同规定拒绝接收成果及服务的，应当承担由此对乙方造成的损失； 1.3乙方不能按期提交成果的，每逾期1日，乙方应向甲方赔付合同总价的0.1%作为违约金，逾期超过【30】天的，甲方有权单方解除合同，乙方应退还已收取的全部价款，给甲方造成损失的还应予以赔偿； 1.4乙方未按合同要求或甲方要求及时提供服务或提供服务不能满足技术标准和要求，每出现一次，向甲方承担合同总价款【5】%的违约金，给甲方造成损失的，还应予以赔偿；出现【2】次的，甲方有权单方解除合同并保留追究乙方违约责任的权力，合同因乙方违约导致解除的，乙方除应承担违约责任赔偿甲方损失外，已收的款项应退还甲方；甲方因乙方违约而产生的维权费用，包括但不限于诉讼费、律师费、保全费、鉴定费、评估费、公证费、差旅费等费用，均由乙方承担； 1.5乙方所交服务不符合国家法律法规和合同规定的，甲方有权拒收，并由乙方承担一切费用； 1.6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 1.7双方本着友好合作的态度,对合同履行过程中发生的纠纷应及时协商解决，协商不成的，向甲方所在地有管辖权的人民法院诉讼解决。 2、解决争议的方法： 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响应文件封面 政府采购供应商拒绝政府采购领域商业贿赂承诺书 中小企业声明函 残疾人福利性单位声明函 技术要求响应表 商务要求响应表 供应商承诺书 响应函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①项目计划安排； ②项目质量保障； ③项目风险管控。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②项目质量保障：每满足一项评审标准得1分，满分3分； ③项目风险管控：每满足一项评审标准得1分，满分3分。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1、评审内容 供应商提供针对本项目的技术服务方案，内容包括： ①对采购需求及系统现状分析； ②项目建设方案； ③所投系统技术指标及相关资料。 2、评审标准 ①完整性：方案内容全面，对评审内容中的各项要求有详细描述及说明； ②可实施性：方案科学合理，可操作性强； ③针对性：方案能紧扣本项目实际情况，满足本项目各项具体要求。 3、赋分标准 ①对采购需求及系统现状分析：每满足一项评审标准得1分，满分3分； ②项目建设方案：每满足一项评审标准得1分，满分3分； ③所投系统技术指标及相关资料：每满足一项评审标准得1分，满分3分；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1、评审内容： 供应商提供针对本项目的运维服务方案，内容包含： ①运维服务计划安排； ②日常巡检与安全防护； ③重要（特殊）时期的运维保障。 2、评审标准 ①完整性：方案必须全面，对评审内容中的各项要求有详细描述； ②可实施性：切合本项目实际情况，提出步骤清晰、合理的方案； ③针对性：方案能够紧扣项目实际情况，内容科学合理。 3、赋分标准 ①运维服务计划安排：每满足一项评审标准得1分，满分3分； ②日常巡检与安全防护：每满足一项评审标准得1分，满分3分； ③重要（特殊）时期的运维保障：每满足一项评审标准得1分，满分3分。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1、具备相关专业高级职称，得4分；具备相关专业中级职称，得2分，未提供不得分。 2、至响应文件递交截止日前，担任过1个相关专业项目的项目负责人，得1分；每增加1个加1分，最多加3分。未提供不得分。 注： （1）提供近1年内1个月单位缴纳社保的证明； （2）提供相关专业项目合同，附合同复印件加盖公章。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3、赋分标准（满分9分）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②保密承诺； ③服务体系及响应时间。 2、评审标准 ①完整性：方案须全面，对评审内容中的各项要求有详细描述及说明； ②可实施性：切合本项目实际情况，步骤清晰、合理，操作性强； ③针对性：方案能够紧扣项目实际情况，内容科学合理。 3、赋分标准 ①服务质量承诺：每满足一项评审标准得1分，满分3分； ②保密承诺：每满足一项评审标准得1分，满分3分；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②培训方式及内容：每满足一项评审标准得1分，满分3分。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有效报价）×权重（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