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版本号：ZXLS-ZC-2025-03020250521001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陕西省农村公路“一路一档”信息化建设工作方案编制项目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ZXLS-ZC-2025-030</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陕西中欣联盛工程项目管理有限公司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陕西中欣联盛工程项目管理有限公司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陕西省农村公路“一路一档”信息化建设工作方案编制项目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ZXLS-ZC-2025-030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陕西省农村公路“一路一档”信息化建设工作方案编制项目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好中省工作要求，按照《陕西省“十四五”综合交通运输发展规划》《关于推进“四好农村路”高质量发展的实施意见》等文件要求，切实推动相关工作取得实质性进展，组织相关单位开展我省农村公路“一路一档”信息化建设工作方案编制工作，打造陕西省农村公路信息化辅助决策驾驶舱可视界面。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2、授权委托书：法定代表人参加投标的，提供本人身份证复印件并出示身份证扫描件；法定代表人授权他人参加投标的，提供法定代表人授权委托书并出示被授权代表的身份证扫描件；</w:t>
      </w:r>
    </w:p>
    <w:p>
      <w:pPr>
        <w:pStyle w:val="null3"/>
      </w:pPr>
      <w:r>
        <w:rPr>
          <w:rFonts w:ascii="仿宋_GB2312" w:hAnsi="仿宋_GB2312" w:cs="仿宋_GB2312" w:eastAsia="仿宋_GB2312"/>
        </w:rPr>
        <w:t>3、财务审计报告：提供具有财务审计资质单位出具的2023年或2024年度财务审计报告或开标前六个月内其基本账户银行出具的资信证明或政府采购信用担保机构出具的投标担保函；</w:t>
      </w:r>
    </w:p>
    <w:p>
      <w:pPr>
        <w:pStyle w:val="null3"/>
      </w:pPr>
      <w:r>
        <w:rPr>
          <w:rFonts w:ascii="仿宋_GB2312" w:hAnsi="仿宋_GB2312" w:cs="仿宋_GB2312" w:eastAsia="仿宋_GB2312"/>
        </w:rPr>
        <w:t>4、税收缴纳证明：提供供应商自投标以来近一年（2024年5月至今）任意一个月完税凭证或税务机关开具的完税证明（任意税种）；依法免税的应提供相关文件证明；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供应商自投标以来近一年（2024年5月至今）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6、声明书：参加政府采购活动近3年内，在经营活动中没有重大违法记录的书面声明；</w:t>
      </w:r>
    </w:p>
    <w:p>
      <w:pPr>
        <w:pStyle w:val="null3"/>
      </w:pPr>
      <w:r>
        <w:rPr>
          <w:rFonts w:ascii="仿宋_GB2312" w:hAnsi="仿宋_GB2312" w:cs="仿宋_GB2312" w:eastAsia="仿宋_GB2312"/>
        </w:rPr>
        <w:t>7、信用查询：供应商不得被“信用中国”网站（www.creditchina.gov.cn）和中国政府采购网站（www.ccgp.gov.cn）列入失信被执行人、重大税收违法案件当事人名单、政府采购严重违法失信行为记录名单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陕西中欣联盛工程项目管理有限公司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陕西省西安市莲湖区陕西省西安市莲湖区高新三路财富中心二期C座1112室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开户名称：陕西中欣联盛工程项目管理有限公司</w:t>
            </w:r>
          </w:p>
          <w:p>
            <w:pPr>
              <w:pStyle w:val="null3"/>
            </w:pPr>
            <w:r>
              <w:rPr>
                <w:rFonts w:ascii="仿宋_GB2312" w:hAnsi="仿宋_GB2312" w:cs="仿宋_GB2312" w:eastAsia="仿宋_GB2312"/>
              </w:rPr>
              <w:t>开户银行：中国建设银行股份有限公司西安高新四路支行</w:t>
            </w:r>
          </w:p>
          <w:p>
            <w:pPr>
              <w:pStyle w:val="null3"/>
            </w:pPr>
            <w:r>
              <w:rPr>
                <w:rFonts w:ascii="仿宋_GB2312" w:hAnsi="仿宋_GB2312" w:cs="仿宋_GB2312" w:eastAsia="仿宋_GB2312"/>
              </w:rPr>
              <w:t>银行账号：61050171560000001077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说明：1.乙方在签订本合同之前，向甲方构提交履约保证金人民币为中标价格的5%。 2.履约保证金的有效期为乙方承诺的服务期限。 3.履约保证金作为违约金的一部分及用于补偿甲方因乙方不能履行合同义务而蒙受的损失。 4.服务期限结束后，经甲方履约验收合格且无任何争议后，向乙方无息退还履约保证金。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照代理机构在参加甲方政府采购代理机构评价活动中的报价系数确定，为中标单位成交价格乘以1.05%。即陕西省农村公路“一路一档”信息化建设工作方案编制项目招标代理费上限为壹万壹仟捌佰陆拾伍元整（¥1.1865万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陕西中欣联盛工程项目管理有限公司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陕西中欣联盛工程项目管理有限公司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陕西中欣联盛工程项目管理有限公司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项目所有的服务内容完成后，由采购人根据项目磋商文件、响应文件、项目合同进行验收，检查合同内容完成情况</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联系人：任涛</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地址：15719163880</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好中省工作要求，按照《陕西省“十四五”综合交通运输发展规划》《关于推进“四好农村路”高质量发展的实施意见》等文件要求，切实推动相关工作取得实质性进展，组织相关单位开展我省农村公路“一路一档”信息化建设工作方案编制工作，打造陕西省农村公路信息化辅助决策驾驶舱可视界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陕西省农村公路“一路一档”信息化建设工作方案编制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标的名称：陕西省农村公路“一路一档”信息化建设工作方案编制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jc w:val="left"/>
            </w:pPr>
            <w:r>
              <w:rPr>
                <w:rFonts w:ascii="仿宋_GB2312" w:hAnsi="仿宋_GB2312" w:cs="仿宋_GB2312" w:eastAsia="仿宋_GB2312"/>
                <w:sz w:val="21"/>
              </w:rPr>
              <w:t>一、项目背景</w:t>
            </w:r>
          </w:p>
          <w:p>
            <w:pPr>
              <w:pStyle w:val="null3"/>
              <w:ind w:right="105"/>
              <w:jc w:val="left"/>
            </w:pPr>
            <w:r>
              <w:rPr>
                <w:rFonts w:ascii="仿宋_GB2312" w:hAnsi="仿宋_GB2312" w:cs="仿宋_GB2312" w:eastAsia="仿宋_GB2312"/>
                <w:sz w:val="21"/>
              </w:rPr>
              <w:t>为深入贯彻关于</w:t>
            </w:r>
            <w:r>
              <w:rPr>
                <w:rFonts w:ascii="仿宋_GB2312" w:hAnsi="仿宋_GB2312" w:cs="仿宋_GB2312" w:eastAsia="仿宋_GB2312"/>
                <w:sz w:val="21"/>
              </w:rPr>
              <w:t>“四好农村路”重要指示精神，落实《数字乡村发展战略纲要》，交通运输部办公厅于</w:t>
            </w:r>
            <w:r>
              <w:rPr>
                <w:rFonts w:ascii="仿宋_GB2312" w:hAnsi="仿宋_GB2312" w:cs="仿宋_GB2312" w:eastAsia="仿宋_GB2312"/>
                <w:sz w:val="21"/>
              </w:rPr>
              <w:t>2023</w:t>
            </w:r>
            <w:r>
              <w:rPr>
                <w:rFonts w:ascii="仿宋_GB2312" w:hAnsi="仿宋_GB2312" w:cs="仿宋_GB2312" w:eastAsia="仿宋_GB2312"/>
                <w:sz w:val="21"/>
              </w:rPr>
              <w:t>年印发《关于开展农村公路“一路一档”信息化建设试点申报工作的通知》</w:t>
            </w:r>
            <w:r>
              <w:rPr>
                <w:rFonts w:ascii="仿宋_GB2312" w:hAnsi="仿宋_GB2312" w:cs="仿宋_GB2312" w:eastAsia="仿宋_GB2312"/>
                <w:sz w:val="21"/>
              </w:rPr>
              <w:t>(</w:t>
            </w:r>
            <w:r>
              <w:rPr>
                <w:rFonts w:ascii="仿宋_GB2312" w:hAnsi="仿宋_GB2312" w:cs="仿宋_GB2312" w:eastAsia="仿宋_GB2312"/>
                <w:sz w:val="21"/>
              </w:rPr>
              <w:t>交办公路函</w:t>
            </w:r>
            <w:r>
              <w:rPr>
                <w:rFonts w:ascii="仿宋_GB2312" w:hAnsi="仿宋_GB2312" w:cs="仿宋_GB2312" w:eastAsia="仿宋_GB2312"/>
                <w:sz w:val="21"/>
              </w:rPr>
              <w:t>(2023]499</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，探索形成农村公路“一路一档”信息化建设的典型模式。</w:t>
            </w:r>
          </w:p>
          <w:p>
            <w:pPr>
              <w:pStyle w:val="null3"/>
              <w:ind w:right="105"/>
              <w:jc w:val="left"/>
            </w:pPr>
            <w:r>
              <w:rPr>
                <w:rFonts w:ascii="仿宋_GB2312" w:hAnsi="仿宋_GB2312" w:cs="仿宋_GB2312" w:eastAsia="仿宋_GB2312"/>
                <w:sz w:val="21"/>
              </w:rPr>
              <w:t>为贯彻落实好中省工作要求，按照《陕西省</w:t>
            </w:r>
            <w:r>
              <w:rPr>
                <w:rFonts w:ascii="仿宋_GB2312" w:hAnsi="仿宋_GB2312" w:cs="仿宋_GB2312" w:eastAsia="仿宋_GB2312"/>
                <w:sz w:val="21"/>
              </w:rPr>
              <w:t>“十四五”综合交通运输发展规划》《关于推进“四好农村路”高质量发展的实施意见》等文件要求，切实推动相关工作取得实质性进展，组织相关单位开展我省农村公路“一路一档”信息化建设工作方案编制工作。</w:t>
            </w:r>
          </w:p>
          <w:p>
            <w:pPr>
              <w:pStyle w:val="null3"/>
              <w:ind w:right="105"/>
              <w:jc w:val="left"/>
            </w:pPr>
            <w:r>
              <w:rPr>
                <w:rFonts w:ascii="仿宋_GB2312" w:hAnsi="仿宋_GB2312" w:cs="仿宋_GB2312" w:eastAsia="仿宋_GB2312"/>
                <w:sz w:val="21"/>
              </w:rPr>
              <w:t>二、目标任务</w:t>
            </w:r>
          </w:p>
          <w:p>
            <w:pPr>
              <w:pStyle w:val="null3"/>
              <w:ind w:right="105"/>
              <w:jc w:val="left"/>
            </w:pPr>
            <w:r>
              <w:rPr>
                <w:rFonts w:ascii="仿宋_GB2312" w:hAnsi="仿宋_GB2312" w:cs="仿宋_GB2312" w:eastAsia="仿宋_GB2312"/>
                <w:sz w:val="21"/>
              </w:rPr>
              <w:t>通过编制《陕西省农村公路</w:t>
            </w:r>
            <w:r>
              <w:rPr>
                <w:rFonts w:ascii="仿宋_GB2312" w:hAnsi="仿宋_GB2312" w:cs="仿宋_GB2312" w:eastAsia="仿宋_GB2312"/>
                <w:sz w:val="21"/>
              </w:rPr>
              <w:t>“一路一档”信息化建设工作方案》，旨在为探索健全完善我省农村公路数据管理机制</w:t>
            </w:r>
            <w:r>
              <w:rPr>
                <w:rFonts w:ascii="仿宋_GB2312" w:hAnsi="仿宋_GB2312" w:cs="仿宋_GB2312" w:eastAsia="仿宋_GB2312"/>
                <w:sz w:val="21"/>
              </w:rPr>
              <w:t>,</w:t>
            </w:r>
            <w:r>
              <w:rPr>
                <w:rFonts w:ascii="仿宋_GB2312" w:hAnsi="仿宋_GB2312" w:cs="仿宋_GB2312" w:eastAsia="仿宋_GB2312"/>
                <w:sz w:val="21"/>
              </w:rPr>
              <w:t>引导推动农村公路数字化转型等工作的实施路径。为加快推进农村公路“基础数据一张网、应用服务一张图、业务协同一盘棋、对外服务一平台”的数字化治理体系建设提供基础依据；为提高农村公路综合监管能力，推动农村公路数据服务群众便利出行和农村经济社会发展，助力“四好农村路”高质量发展全面推进乡村振兴提供坚实保障。</w:t>
            </w:r>
          </w:p>
          <w:p>
            <w:pPr>
              <w:pStyle w:val="null3"/>
              <w:ind w:right="105"/>
              <w:jc w:val="left"/>
            </w:pPr>
            <w:r>
              <w:rPr>
                <w:rFonts w:ascii="仿宋_GB2312" w:hAnsi="仿宋_GB2312" w:cs="仿宋_GB2312" w:eastAsia="仿宋_GB2312"/>
                <w:sz w:val="21"/>
              </w:rPr>
              <w:t>三、项目需求</w:t>
            </w:r>
          </w:p>
          <w:p>
            <w:pPr>
              <w:pStyle w:val="null3"/>
              <w:ind w:right="105"/>
              <w:jc w:val="left"/>
            </w:pPr>
            <w:r>
              <w:rPr>
                <w:rFonts w:ascii="仿宋_GB2312" w:hAnsi="仿宋_GB2312" w:cs="仿宋_GB2312" w:eastAsia="仿宋_GB2312"/>
                <w:sz w:val="21"/>
              </w:rPr>
              <w:t>（一）</w:t>
            </w:r>
            <w:r>
              <w:rPr>
                <w:rFonts w:ascii="仿宋_GB2312" w:hAnsi="仿宋_GB2312" w:cs="仿宋_GB2312" w:eastAsia="仿宋_GB2312"/>
                <w:sz w:val="21"/>
              </w:rPr>
              <w:t>扎实开展项目实施调研工作</w:t>
            </w:r>
          </w:p>
          <w:p>
            <w:pPr>
              <w:pStyle w:val="null3"/>
              <w:ind w:right="105"/>
              <w:jc w:val="left"/>
            </w:pPr>
            <w:r>
              <w:rPr>
                <w:rFonts w:ascii="仿宋_GB2312" w:hAnsi="仿宋_GB2312" w:cs="仿宋_GB2312" w:eastAsia="仿宋_GB2312"/>
                <w:sz w:val="21"/>
              </w:rPr>
              <w:t>中标单位要紧密贴合陕西省农村公路发展现状，以推动</w:t>
            </w:r>
            <w:r>
              <w:rPr>
                <w:rFonts w:ascii="仿宋_GB2312" w:hAnsi="仿宋_GB2312" w:cs="仿宋_GB2312" w:eastAsia="仿宋_GB2312"/>
                <w:sz w:val="21"/>
              </w:rPr>
              <w:t>“四好农村路”高质量发展为核心目标，切实做好项目建设的必要性调查。以提升农村公路管理信息化水平为重点，从农村公路建设、管理、养护等三方面着手，做好业务需求调查分析，</w:t>
            </w:r>
            <w:r>
              <w:rPr>
                <w:rFonts w:ascii="仿宋_GB2312" w:hAnsi="仿宋_GB2312" w:cs="仿宋_GB2312" w:eastAsia="仿宋_GB2312"/>
                <w:sz w:val="21"/>
              </w:rPr>
              <w:t>改进</w:t>
            </w:r>
            <w:r>
              <w:rPr>
                <w:rFonts w:ascii="仿宋_GB2312" w:hAnsi="仿宋_GB2312" w:cs="仿宋_GB2312" w:eastAsia="仿宋_GB2312"/>
                <w:sz w:val="21"/>
              </w:rPr>
              <w:t>现有农村公路管理方式，为后续完善数据管理机制</w:t>
            </w:r>
            <w:r>
              <w:rPr>
                <w:rFonts w:ascii="仿宋_GB2312" w:hAnsi="仿宋_GB2312" w:cs="仿宋_GB2312" w:eastAsia="仿宋_GB2312"/>
                <w:sz w:val="21"/>
              </w:rPr>
              <w:t>，</w:t>
            </w:r>
            <w:r>
              <w:rPr>
                <w:rFonts w:ascii="仿宋_GB2312" w:hAnsi="仿宋_GB2312" w:cs="仿宋_GB2312" w:eastAsia="仿宋_GB2312"/>
                <w:sz w:val="21"/>
              </w:rPr>
              <w:t>强化业务协同与数据共享</w:t>
            </w:r>
            <w:r>
              <w:rPr>
                <w:rFonts w:ascii="仿宋_GB2312" w:hAnsi="仿宋_GB2312" w:cs="仿宋_GB2312" w:eastAsia="仿宋_GB2312"/>
                <w:sz w:val="21"/>
              </w:rPr>
              <w:t>，</w:t>
            </w:r>
            <w:r>
              <w:rPr>
                <w:rFonts w:ascii="仿宋_GB2312" w:hAnsi="仿宋_GB2312" w:cs="仿宋_GB2312" w:eastAsia="仿宋_GB2312"/>
                <w:sz w:val="21"/>
              </w:rPr>
              <w:t>做好数据整合方案设计</w:t>
            </w:r>
            <w:r>
              <w:rPr>
                <w:rFonts w:ascii="仿宋_GB2312" w:hAnsi="仿宋_GB2312" w:cs="仿宋_GB2312" w:eastAsia="仿宋_GB2312"/>
                <w:sz w:val="21"/>
              </w:rPr>
              <w:t>等工作指明方向。</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编制《陕西省农村公路</w:t>
            </w:r>
            <w:r>
              <w:rPr>
                <w:rFonts w:ascii="仿宋_GB2312" w:hAnsi="仿宋_GB2312" w:cs="仿宋_GB2312" w:eastAsia="仿宋_GB2312"/>
                <w:sz w:val="21"/>
              </w:rPr>
              <w:t>“一路一档”信息化建设工作方案》</w:t>
            </w:r>
          </w:p>
          <w:p>
            <w:pPr>
              <w:pStyle w:val="null3"/>
              <w:ind w:right="105"/>
              <w:jc w:val="left"/>
            </w:pPr>
            <w:r>
              <w:rPr>
                <w:rFonts w:ascii="仿宋_GB2312" w:hAnsi="仿宋_GB2312" w:cs="仿宋_GB2312" w:eastAsia="仿宋_GB2312"/>
                <w:sz w:val="21"/>
              </w:rPr>
              <w:t>中标单位需</w:t>
            </w:r>
            <w:r>
              <w:rPr>
                <w:rFonts w:ascii="仿宋_GB2312" w:hAnsi="仿宋_GB2312" w:cs="仿宋_GB2312" w:eastAsia="仿宋_GB2312"/>
                <w:sz w:val="21"/>
              </w:rPr>
              <w:t>在</w:t>
            </w:r>
            <w:r>
              <w:rPr>
                <w:rFonts w:ascii="仿宋_GB2312" w:hAnsi="仿宋_GB2312" w:cs="仿宋_GB2312" w:eastAsia="仿宋_GB2312"/>
                <w:sz w:val="21"/>
              </w:rPr>
              <w:t>充分</w:t>
            </w:r>
            <w:r>
              <w:rPr>
                <w:rFonts w:ascii="仿宋_GB2312" w:hAnsi="仿宋_GB2312" w:cs="仿宋_GB2312" w:eastAsia="仿宋_GB2312"/>
                <w:sz w:val="21"/>
              </w:rPr>
              <w:t>调研</w:t>
            </w:r>
            <w:r>
              <w:rPr>
                <w:rFonts w:ascii="仿宋_GB2312" w:hAnsi="仿宋_GB2312" w:cs="仿宋_GB2312" w:eastAsia="仿宋_GB2312"/>
                <w:sz w:val="21"/>
              </w:rPr>
              <w:t>的</w:t>
            </w:r>
            <w:r>
              <w:rPr>
                <w:rFonts w:ascii="仿宋_GB2312" w:hAnsi="仿宋_GB2312" w:cs="仿宋_GB2312" w:eastAsia="仿宋_GB2312"/>
                <w:sz w:val="21"/>
              </w:rPr>
              <w:t>基础上</w:t>
            </w:r>
            <w:r>
              <w:rPr>
                <w:rFonts w:ascii="仿宋_GB2312" w:hAnsi="仿宋_GB2312" w:cs="仿宋_GB2312" w:eastAsia="仿宋_GB2312"/>
                <w:sz w:val="21"/>
              </w:rPr>
              <w:t>，</w:t>
            </w:r>
            <w:r>
              <w:rPr>
                <w:rFonts w:ascii="仿宋_GB2312" w:hAnsi="仿宋_GB2312" w:cs="仿宋_GB2312" w:eastAsia="仿宋_GB2312"/>
                <w:sz w:val="21"/>
              </w:rPr>
              <w:t>紧紧围绕本项目目标任务编制《陕西省农村公路</w:t>
            </w:r>
            <w:r>
              <w:rPr>
                <w:rFonts w:ascii="仿宋_GB2312" w:hAnsi="仿宋_GB2312" w:cs="仿宋_GB2312" w:eastAsia="仿宋_GB2312"/>
                <w:sz w:val="21"/>
              </w:rPr>
              <w:t>“一路一档”信息化建设工作方案》，提出对我省开展农村公路“一路一档”信息化建设的指导性、规划性的实施意见，并具备现阶段实现主体功能的可行性以及提档升级的前瞻性。具体的工作内容包含但不限于：</w:t>
            </w:r>
          </w:p>
          <w:p>
            <w:pPr>
              <w:pStyle w:val="null3"/>
              <w:ind w:right="105"/>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合理编制项目总体建设方案：中标单位需</w:t>
            </w:r>
            <w:r>
              <w:rPr>
                <w:rFonts w:ascii="仿宋_GB2312" w:hAnsi="仿宋_GB2312" w:cs="仿宋_GB2312" w:eastAsia="仿宋_GB2312"/>
                <w:sz w:val="21"/>
              </w:rPr>
              <w:t>已解决问题为出发点</w:t>
            </w:r>
            <w:r>
              <w:rPr>
                <w:rFonts w:ascii="仿宋_GB2312" w:hAnsi="仿宋_GB2312" w:cs="仿宋_GB2312" w:eastAsia="仿宋_GB2312"/>
                <w:sz w:val="21"/>
              </w:rPr>
              <w:t>，</w:t>
            </w:r>
            <w:r>
              <w:rPr>
                <w:rFonts w:ascii="仿宋_GB2312" w:hAnsi="仿宋_GB2312" w:cs="仿宋_GB2312" w:eastAsia="仿宋_GB2312"/>
                <w:sz w:val="21"/>
              </w:rPr>
              <w:t>做好全省农村公路一路一档信息化建设的总体设计。提出具体工作意见包含：需</w:t>
            </w:r>
            <w:r>
              <w:rPr>
                <w:rFonts w:ascii="仿宋_GB2312" w:hAnsi="仿宋_GB2312" w:cs="仿宋_GB2312" w:eastAsia="仿宋_GB2312"/>
                <w:sz w:val="21"/>
              </w:rPr>
              <w:t>设计具备高扩展性、稳定性和安全性的系统架构</w:t>
            </w:r>
            <w:r>
              <w:rPr>
                <w:rFonts w:ascii="仿宋_GB2312" w:hAnsi="仿宋_GB2312" w:cs="仿宋_GB2312" w:eastAsia="仿宋_GB2312"/>
                <w:sz w:val="21"/>
              </w:rPr>
              <w:t>；</w:t>
            </w:r>
            <w:r>
              <w:rPr>
                <w:rFonts w:ascii="仿宋_GB2312" w:hAnsi="仿宋_GB2312" w:cs="仿宋_GB2312" w:eastAsia="仿宋_GB2312"/>
                <w:sz w:val="21"/>
              </w:rPr>
              <w:t>需明确系统基础设施层中服务器、存储设备、网络设备等</w:t>
            </w:r>
            <w:r>
              <w:rPr>
                <w:rFonts w:ascii="仿宋_GB2312" w:hAnsi="仿宋_GB2312" w:cs="仿宋_GB2312" w:eastAsia="仿宋_GB2312"/>
                <w:sz w:val="21"/>
              </w:rPr>
              <w:t>配置标准，满足系统运行</w:t>
            </w:r>
            <w:r>
              <w:rPr>
                <w:rFonts w:ascii="仿宋_GB2312" w:hAnsi="仿宋_GB2312" w:cs="仿宋_GB2312" w:eastAsia="仿宋_GB2312"/>
                <w:sz w:val="21"/>
              </w:rPr>
              <w:t>需求；</w:t>
            </w:r>
            <w:r>
              <w:rPr>
                <w:rFonts w:ascii="仿宋_GB2312" w:hAnsi="仿宋_GB2312" w:cs="仿宋_GB2312" w:eastAsia="仿宋_GB2312"/>
                <w:sz w:val="21"/>
              </w:rPr>
              <w:t>提出</w:t>
            </w:r>
            <w:r>
              <w:rPr>
                <w:rFonts w:ascii="仿宋_GB2312" w:hAnsi="仿宋_GB2312" w:cs="仿宋_GB2312" w:eastAsia="仿宋_GB2312"/>
                <w:sz w:val="21"/>
              </w:rPr>
              <w:t>对</w:t>
            </w:r>
            <w:r>
              <w:rPr>
                <w:rFonts w:ascii="仿宋_GB2312" w:hAnsi="仿宋_GB2312" w:cs="仿宋_GB2312" w:eastAsia="仿宋_GB2312"/>
                <w:sz w:val="21"/>
              </w:rPr>
              <w:t>各类现有数据库的整合和利用方案，充分考虑系统的兼容性和扩展性，确保与现有</w:t>
            </w:r>
            <w:r>
              <w:rPr>
                <w:rFonts w:ascii="仿宋_GB2312" w:hAnsi="仿宋_GB2312" w:cs="仿宋_GB2312" w:eastAsia="仿宋_GB2312"/>
                <w:sz w:val="21"/>
              </w:rPr>
              <w:t>系统的无缝集成与对接</w:t>
            </w:r>
            <w:r>
              <w:rPr>
                <w:rFonts w:ascii="仿宋_GB2312" w:hAnsi="仿宋_GB2312" w:cs="仿宋_GB2312" w:eastAsia="仿宋_GB2312"/>
                <w:sz w:val="21"/>
              </w:rPr>
              <w:t>；</w:t>
            </w:r>
            <w:r>
              <w:rPr>
                <w:rFonts w:ascii="仿宋_GB2312" w:hAnsi="仿宋_GB2312" w:cs="仿宋_GB2312" w:eastAsia="仿宋_GB2312"/>
                <w:sz w:val="21"/>
              </w:rPr>
              <w:t>规范数据的存储、管理、交互调用方式等；应用层中整合各类功能模块的设置以及集成方案，</w:t>
            </w:r>
            <w:r>
              <w:rPr>
                <w:rFonts w:ascii="仿宋_GB2312" w:hAnsi="仿宋_GB2312" w:cs="仿宋_GB2312" w:eastAsia="仿宋_GB2312"/>
                <w:sz w:val="21"/>
              </w:rPr>
              <w:t>明确</w:t>
            </w:r>
            <w:r>
              <w:rPr>
                <w:rFonts w:ascii="仿宋_GB2312" w:hAnsi="仿宋_GB2312" w:cs="仿宋_GB2312" w:eastAsia="仿宋_GB2312"/>
                <w:sz w:val="21"/>
              </w:rPr>
              <w:t>建设管理、养护管理、路产保护等功能</w:t>
            </w:r>
            <w:r>
              <w:rPr>
                <w:rFonts w:ascii="仿宋_GB2312" w:hAnsi="仿宋_GB2312" w:cs="仿宋_GB2312" w:eastAsia="仿宋_GB2312"/>
                <w:sz w:val="21"/>
              </w:rPr>
              <w:t>方式</w:t>
            </w:r>
            <w:r>
              <w:rPr>
                <w:rFonts w:ascii="仿宋_GB2312" w:hAnsi="仿宋_GB2312" w:cs="仿宋_GB2312" w:eastAsia="仿宋_GB2312"/>
                <w:sz w:val="21"/>
              </w:rPr>
              <w:t>，确保系统功能的完整性和协同性。</w:t>
            </w:r>
          </w:p>
          <w:p>
            <w:pPr>
              <w:pStyle w:val="null3"/>
              <w:ind w:right="10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科学设置功能模块建设</w:t>
            </w:r>
          </w:p>
          <w:p>
            <w:pPr>
              <w:pStyle w:val="null3"/>
              <w:ind w:right="105"/>
              <w:jc w:val="left"/>
            </w:pPr>
            <w:r>
              <w:rPr>
                <w:rFonts w:ascii="仿宋_GB2312" w:hAnsi="仿宋_GB2312" w:cs="仿宋_GB2312" w:eastAsia="仿宋_GB2312"/>
                <w:sz w:val="21"/>
              </w:rPr>
              <w:t>农村公路</w:t>
            </w:r>
            <w:r>
              <w:rPr>
                <w:rFonts w:ascii="仿宋_GB2312" w:hAnsi="仿宋_GB2312" w:cs="仿宋_GB2312" w:eastAsia="仿宋_GB2312"/>
                <w:sz w:val="21"/>
              </w:rPr>
              <w:t>“</w:t>
            </w:r>
            <w:r>
              <w:rPr>
                <w:rFonts w:ascii="仿宋_GB2312" w:hAnsi="仿宋_GB2312" w:cs="仿宋_GB2312" w:eastAsia="仿宋_GB2312"/>
                <w:sz w:val="21"/>
              </w:rPr>
              <w:t>一路一档</w:t>
            </w:r>
            <w:r>
              <w:rPr>
                <w:rFonts w:ascii="仿宋_GB2312" w:hAnsi="仿宋_GB2312" w:cs="仿宋_GB2312" w:eastAsia="仿宋_GB2312"/>
                <w:sz w:val="21"/>
              </w:rPr>
              <w:t>”</w:t>
            </w:r>
            <w:r>
              <w:rPr>
                <w:rFonts w:ascii="仿宋_GB2312" w:hAnsi="仿宋_GB2312" w:cs="仿宋_GB2312" w:eastAsia="仿宋_GB2312"/>
                <w:sz w:val="21"/>
              </w:rPr>
              <w:t>信息化系统建设，要遵循</w:t>
            </w:r>
            <w:r>
              <w:rPr>
                <w:rFonts w:ascii="仿宋_GB2312" w:hAnsi="仿宋_GB2312" w:cs="仿宋_GB2312" w:eastAsia="仿宋_GB2312"/>
                <w:sz w:val="21"/>
              </w:rPr>
              <w:t>“建好、管好、养护好、运营好”的目的进行规划设计，</w:t>
            </w:r>
            <w:r>
              <w:rPr>
                <w:rFonts w:ascii="仿宋_GB2312" w:hAnsi="仿宋_GB2312" w:cs="仿宋_GB2312" w:eastAsia="仿宋_GB2312"/>
                <w:sz w:val="21"/>
              </w:rPr>
              <w:t>主要从公路路产路权、公路建设管理、</w:t>
            </w:r>
            <w:r>
              <w:rPr>
                <w:rFonts w:ascii="仿宋_GB2312" w:hAnsi="仿宋_GB2312" w:cs="仿宋_GB2312" w:eastAsia="仿宋_GB2312"/>
                <w:sz w:val="21"/>
              </w:rPr>
              <w:t>公路养护管理、技术状况评定、路长制运行</w:t>
            </w:r>
            <w:r>
              <w:rPr>
                <w:rFonts w:ascii="仿宋_GB2312" w:hAnsi="仿宋_GB2312" w:cs="仿宋_GB2312" w:eastAsia="仿宋_GB2312"/>
                <w:sz w:val="21"/>
              </w:rPr>
              <w:t>等方面入手，根据实际工作需要拓展衍生各类功能模块。中标单位需提出相应功能实现的路径和</w:t>
            </w:r>
            <w:r>
              <w:rPr>
                <w:rFonts w:ascii="仿宋_GB2312" w:hAnsi="仿宋_GB2312" w:cs="仿宋_GB2312" w:eastAsia="仿宋_GB2312"/>
                <w:sz w:val="21"/>
              </w:rPr>
              <w:t>技术指标等。</w:t>
            </w:r>
          </w:p>
          <w:p>
            <w:pPr>
              <w:pStyle w:val="null3"/>
              <w:ind w:right="105"/>
              <w:jc w:val="left"/>
            </w:pPr>
            <w:r>
              <w:rPr>
                <w:rFonts w:ascii="仿宋_GB2312" w:hAnsi="仿宋_GB2312" w:cs="仿宋_GB2312" w:eastAsia="仿宋_GB2312"/>
                <w:sz w:val="21"/>
              </w:rPr>
              <w:t>深度分析农村公路业务管理需求，提出省、市、县三级平台</w:t>
            </w:r>
            <w:r>
              <w:rPr>
                <w:rFonts w:ascii="仿宋_GB2312" w:hAnsi="仿宋_GB2312" w:cs="仿宋_GB2312" w:eastAsia="仿宋_GB2312"/>
                <w:sz w:val="21"/>
              </w:rPr>
              <w:t>连通</w:t>
            </w:r>
            <w:r>
              <w:rPr>
                <w:rFonts w:ascii="仿宋_GB2312" w:hAnsi="仿宋_GB2312" w:cs="仿宋_GB2312" w:eastAsia="仿宋_GB2312"/>
                <w:sz w:val="21"/>
              </w:rPr>
              <w:t>策略和功能模块衔接方式，构建上下联动</w:t>
            </w:r>
            <w:r>
              <w:rPr>
                <w:rFonts w:ascii="仿宋_GB2312" w:hAnsi="仿宋_GB2312" w:cs="仿宋_GB2312" w:eastAsia="仿宋_GB2312"/>
                <w:sz w:val="21"/>
              </w:rPr>
              <w:t>的三级应用体系。围绕业务管理需求，预留创新性、前瞻性的示范功能应用，提出远景规划建议。</w:t>
            </w:r>
          </w:p>
          <w:p>
            <w:pPr>
              <w:pStyle w:val="null3"/>
              <w:ind w:right="105"/>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构建必要的安全保障体系：中标单位需遵循信息安全相关标准和规范，构建多层次的安全保障体系，提出相应的系统安全工程方案。在防范网络攻击和数据泄露，敏感数据</w:t>
            </w:r>
            <w:r>
              <w:rPr>
                <w:rFonts w:ascii="仿宋_GB2312" w:hAnsi="仿宋_GB2312" w:cs="仿宋_GB2312" w:eastAsia="仿宋_GB2312"/>
                <w:sz w:val="21"/>
              </w:rPr>
              <w:t>加密存储和传输</w:t>
            </w:r>
            <w:r>
              <w:rPr>
                <w:rFonts w:ascii="仿宋_GB2312" w:hAnsi="仿宋_GB2312" w:cs="仿宋_GB2312" w:eastAsia="仿宋_GB2312"/>
                <w:sz w:val="21"/>
              </w:rPr>
              <w:t>，</w:t>
            </w:r>
            <w:r>
              <w:rPr>
                <w:rFonts w:ascii="仿宋_GB2312" w:hAnsi="仿宋_GB2312" w:cs="仿宋_GB2312" w:eastAsia="仿宋_GB2312"/>
                <w:sz w:val="21"/>
              </w:rPr>
              <w:t>确保数据</w:t>
            </w:r>
            <w:r>
              <w:rPr>
                <w:rFonts w:ascii="仿宋_GB2312" w:hAnsi="仿宋_GB2312" w:cs="仿宋_GB2312" w:eastAsia="仿宋_GB2312"/>
                <w:sz w:val="21"/>
              </w:rPr>
              <w:t>保密性和完整性，用户认证与授权等方面提出</w:t>
            </w:r>
            <w:r>
              <w:rPr>
                <w:rFonts w:ascii="仿宋_GB2312" w:hAnsi="仿宋_GB2312" w:cs="仿宋_GB2312" w:eastAsia="仿宋_GB2312"/>
                <w:sz w:val="21"/>
              </w:rPr>
              <w:t>工作意见。</w:t>
            </w:r>
          </w:p>
          <w:p>
            <w:pPr>
              <w:pStyle w:val="null3"/>
              <w:ind w:right="105"/>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明确项目实施阶段计划与运维方案：中标单位需制定详细的项目实施计划，明确各阶段的关键节点和任务目标，</w:t>
            </w:r>
            <w:r>
              <w:rPr>
                <w:rFonts w:ascii="仿宋_GB2312" w:hAnsi="仿宋_GB2312" w:cs="仿宋_GB2312" w:eastAsia="仿宋_GB2312"/>
                <w:sz w:val="21"/>
              </w:rPr>
              <w:t>提出</w:t>
            </w:r>
            <w:r>
              <w:rPr>
                <w:rFonts w:ascii="仿宋_GB2312" w:hAnsi="仿宋_GB2312" w:cs="仿宋_GB2312" w:eastAsia="仿宋_GB2312"/>
                <w:sz w:val="21"/>
              </w:rPr>
              <w:t>项目进度</w:t>
            </w:r>
            <w:r>
              <w:rPr>
                <w:rFonts w:ascii="仿宋_GB2312" w:hAnsi="仿宋_GB2312" w:cs="仿宋_GB2312" w:eastAsia="仿宋_GB2312"/>
                <w:sz w:val="21"/>
              </w:rPr>
              <w:t>安排</w:t>
            </w:r>
            <w:r>
              <w:rPr>
                <w:rFonts w:ascii="仿宋_GB2312" w:hAnsi="仿宋_GB2312" w:cs="仿宋_GB2312" w:eastAsia="仿宋_GB2312"/>
                <w:sz w:val="21"/>
              </w:rPr>
              <w:t>建议</w:t>
            </w:r>
            <w:r>
              <w:rPr>
                <w:rFonts w:ascii="仿宋_GB2312" w:hAnsi="仿宋_GB2312" w:cs="仿宋_GB2312" w:eastAsia="仿宋_GB2312"/>
                <w:sz w:val="21"/>
              </w:rPr>
              <w:t>。制定完善的运维方案，</w:t>
            </w:r>
            <w:r>
              <w:rPr>
                <w:rFonts w:ascii="仿宋_GB2312" w:hAnsi="仿宋_GB2312" w:cs="仿宋_GB2312" w:eastAsia="仿宋_GB2312"/>
                <w:sz w:val="21"/>
              </w:rPr>
              <w:t>包含</w:t>
            </w:r>
            <w:r>
              <w:rPr>
                <w:rFonts w:ascii="仿宋_GB2312" w:hAnsi="仿宋_GB2312" w:cs="仿宋_GB2312" w:eastAsia="仿宋_GB2312"/>
                <w:sz w:val="21"/>
              </w:rPr>
              <w:t>系统</w:t>
            </w:r>
            <w:r>
              <w:rPr>
                <w:rFonts w:ascii="仿宋_GB2312" w:hAnsi="仿宋_GB2312" w:cs="仿宋_GB2312" w:eastAsia="仿宋_GB2312"/>
                <w:sz w:val="21"/>
              </w:rPr>
              <w:t>维护、故障处理、性能优化等</w:t>
            </w:r>
            <w:r>
              <w:rPr>
                <w:rFonts w:ascii="仿宋_GB2312" w:hAnsi="仿宋_GB2312" w:cs="仿宋_GB2312" w:eastAsia="仿宋_GB2312"/>
                <w:sz w:val="21"/>
              </w:rPr>
              <w:t>，</w:t>
            </w:r>
            <w:r>
              <w:rPr>
                <w:rFonts w:ascii="仿宋_GB2312" w:hAnsi="仿宋_GB2312" w:cs="仿宋_GB2312" w:eastAsia="仿宋_GB2312"/>
                <w:sz w:val="21"/>
              </w:rPr>
              <w:t>确保系统长期稳定运行。明确运维团队的职责和人员配置</w:t>
            </w:r>
            <w:r>
              <w:rPr>
                <w:rFonts w:ascii="仿宋_GB2312" w:hAnsi="仿宋_GB2312" w:cs="仿宋_GB2312" w:eastAsia="仿宋_GB2312"/>
                <w:sz w:val="21"/>
              </w:rPr>
              <w:t>要求</w:t>
            </w:r>
            <w:r>
              <w:rPr>
                <w:rFonts w:ascii="仿宋_GB2312" w:hAnsi="仿宋_GB2312" w:cs="仿宋_GB2312" w:eastAsia="仿宋_GB2312"/>
                <w:sz w:val="21"/>
              </w:rPr>
              <w:t>，</w:t>
            </w:r>
            <w:r>
              <w:rPr>
                <w:rFonts w:ascii="仿宋_GB2312" w:hAnsi="仿宋_GB2312" w:cs="仿宋_GB2312" w:eastAsia="仿宋_GB2312"/>
                <w:sz w:val="21"/>
              </w:rPr>
              <w:t>制定</w:t>
            </w:r>
            <w:r>
              <w:rPr>
                <w:rFonts w:ascii="仿宋_GB2312" w:hAnsi="仿宋_GB2312" w:cs="仿宋_GB2312" w:eastAsia="仿宋_GB2312"/>
                <w:sz w:val="21"/>
              </w:rPr>
              <w:t>相应的</w:t>
            </w:r>
            <w:r>
              <w:rPr>
                <w:rFonts w:ascii="仿宋_GB2312" w:hAnsi="仿宋_GB2312" w:cs="仿宋_GB2312" w:eastAsia="仿宋_GB2312"/>
                <w:sz w:val="21"/>
              </w:rPr>
              <w:t>运维管理制度和流程，保障运维工作的规范化和标准化。</w:t>
            </w:r>
          </w:p>
          <w:p>
            <w:pPr>
              <w:pStyle w:val="null3"/>
              <w:ind w:right="105"/>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做好投资估算和效益分析：中标单位需</w:t>
            </w:r>
            <w:r>
              <w:rPr>
                <w:rFonts w:ascii="仿宋_GB2312" w:hAnsi="仿宋_GB2312" w:cs="仿宋_GB2312" w:eastAsia="仿宋_GB2312"/>
                <w:sz w:val="21"/>
              </w:rPr>
              <w:t>合理估算项目投资费用，包含但不限于硬件设备采购费用、软件系统开发费用、数据整合与利用费用、系统维护与更新费用及其他未可遇见的费用，确保投资估算能够作为我省农村公路</w:t>
            </w:r>
            <w:r>
              <w:rPr>
                <w:rFonts w:ascii="仿宋_GB2312" w:hAnsi="仿宋_GB2312" w:cs="仿宋_GB2312" w:eastAsia="仿宋_GB2312"/>
                <w:sz w:val="21"/>
              </w:rPr>
              <w:t>“一路一档”信息化建设项目决策的重要依据</w:t>
            </w:r>
            <w:r>
              <w:rPr>
                <w:rFonts w:ascii="仿宋_GB2312" w:hAnsi="仿宋_GB2312" w:cs="仿宋_GB2312" w:eastAsia="仿宋_GB2312"/>
                <w:sz w:val="21"/>
              </w:rPr>
              <w:t>，</w:t>
            </w:r>
            <w:r>
              <w:rPr>
                <w:rFonts w:ascii="仿宋_GB2312" w:hAnsi="仿宋_GB2312" w:cs="仿宋_GB2312" w:eastAsia="仿宋_GB2312"/>
                <w:sz w:val="21"/>
              </w:rPr>
              <w:t>为</w:t>
            </w:r>
            <w:r>
              <w:rPr>
                <w:rFonts w:ascii="仿宋_GB2312" w:hAnsi="仿宋_GB2312" w:cs="仿宋_GB2312" w:eastAsia="仿宋_GB2312"/>
                <w:sz w:val="21"/>
              </w:rPr>
              <w:t>上级</w:t>
            </w:r>
            <w:r>
              <w:rPr>
                <w:rFonts w:ascii="仿宋_GB2312" w:hAnsi="仿宋_GB2312" w:cs="仿宋_GB2312" w:eastAsia="仿宋_GB2312"/>
                <w:sz w:val="21"/>
              </w:rPr>
              <w:t>部门</w:t>
            </w:r>
            <w:r>
              <w:rPr>
                <w:rFonts w:ascii="仿宋_GB2312" w:hAnsi="仿宋_GB2312" w:cs="仿宋_GB2312" w:eastAsia="仿宋_GB2312"/>
                <w:sz w:val="21"/>
              </w:rPr>
              <w:t>争取项目建设资金来源</w:t>
            </w:r>
            <w:r>
              <w:rPr>
                <w:rFonts w:ascii="仿宋_GB2312" w:hAnsi="仿宋_GB2312" w:cs="仿宋_GB2312" w:eastAsia="仿宋_GB2312"/>
                <w:sz w:val="21"/>
              </w:rPr>
              <w:t>提供基础。为</w:t>
            </w:r>
            <w:r>
              <w:rPr>
                <w:rFonts w:ascii="仿宋_GB2312" w:hAnsi="仿宋_GB2312" w:cs="仿宋_GB2312" w:eastAsia="仿宋_GB2312"/>
                <w:sz w:val="21"/>
              </w:rPr>
              <w:t>控制</w:t>
            </w:r>
            <w:r>
              <w:rPr>
                <w:rFonts w:ascii="仿宋_GB2312" w:hAnsi="仿宋_GB2312" w:cs="仿宋_GB2312" w:eastAsia="仿宋_GB2312"/>
                <w:sz w:val="21"/>
              </w:rPr>
              <w:t>项目各阶段的投资</w:t>
            </w:r>
            <w:r>
              <w:rPr>
                <w:rFonts w:ascii="仿宋_GB2312" w:hAnsi="仿宋_GB2312" w:cs="仿宋_GB2312" w:eastAsia="仿宋_GB2312"/>
                <w:sz w:val="21"/>
              </w:rPr>
              <w:t>避免超支</w:t>
            </w:r>
            <w:r>
              <w:rPr>
                <w:rFonts w:ascii="仿宋_GB2312" w:hAnsi="仿宋_GB2312" w:cs="仿宋_GB2312" w:eastAsia="仿宋_GB2312"/>
                <w:sz w:val="21"/>
              </w:rPr>
              <w:t>，</w:t>
            </w:r>
            <w:r>
              <w:rPr>
                <w:rFonts w:ascii="仿宋_GB2312" w:hAnsi="仿宋_GB2312" w:cs="仿宋_GB2312" w:eastAsia="仿宋_GB2312"/>
                <w:sz w:val="21"/>
              </w:rPr>
              <w:t>合理分配资金</w:t>
            </w:r>
            <w:r>
              <w:rPr>
                <w:rFonts w:ascii="仿宋_GB2312" w:hAnsi="仿宋_GB2312" w:cs="仿宋_GB2312" w:eastAsia="仿宋_GB2312"/>
                <w:sz w:val="21"/>
              </w:rPr>
              <w:t>提供参考标准。</w:t>
            </w:r>
          </w:p>
          <w:p>
            <w:pPr>
              <w:pStyle w:val="null3"/>
              <w:ind w:right="105"/>
              <w:jc w:val="left"/>
            </w:pPr>
            <w:r>
              <w:rPr>
                <w:rFonts w:ascii="仿宋_GB2312" w:hAnsi="仿宋_GB2312" w:cs="仿宋_GB2312" w:eastAsia="仿宋_GB2312"/>
                <w:sz w:val="21"/>
              </w:rPr>
              <w:t>中标单位需通过全面剖析农村公路</w:t>
            </w:r>
            <w:r>
              <w:rPr>
                <w:rFonts w:ascii="仿宋_GB2312" w:hAnsi="仿宋_GB2312" w:cs="仿宋_GB2312" w:eastAsia="仿宋_GB2312"/>
                <w:sz w:val="21"/>
              </w:rPr>
              <w:t>“一路一档”</w:t>
            </w:r>
            <w:r>
              <w:rPr>
                <w:rFonts w:ascii="仿宋_GB2312" w:hAnsi="仿宋_GB2312" w:cs="仿宋_GB2312" w:eastAsia="仿宋_GB2312"/>
                <w:sz w:val="21"/>
              </w:rPr>
              <w:t>信息化建设项目在经济、社会、环境层面进行效益分析，精准评估其经济可行性</w:t>
            </w:r>
            <w:r>
              <w:rPr>
                <w:rFonts w:ascii="仿宋_GB2312" w:hAnsi="仿宋_GB2312" w:cs="仿宋_GB2312" w:eastAsia="仿宋_GB2312"/>
                <w:sz w:val="21"/>
              </w:rPr>
              <w:t>，</w:t>
            </w:r>
            <w:r>
              <w:rPr>
                <w:rFonts w:ascii="仿宋_GB2312" w:hAnsi="仿宋_GB2312" w:cs="仿宋_GB2312" w:eastAsia="仿宋_GB2312"/>
                <w:sz w:val="21"/>
              </w:rPr>
              <w:t>为</w:t>
            </w:r>
            <w:r>
              <w:rPr>
                <w:rFonts w:ascii="仿宋_GB2312" w:hAnsi="仿宋_GB2312" w:cs="仿宋_GB2312" w:eastAsia="仿宋_GB2312"/>
                <w:sz w:val="21"/>
              </w:rPr>
              <w:t>推动</w:t>
            </w:r>
            <w:r>
              <w:rPr>
                <w:rFonts w:ascii="仿宋_GB2312" w:hAnsi="仿宋_GB2312" w:cs="仿宋_GB2312" w:eastAsia="仿宋_GB2312"/>
                <w:sz w:val="21"/>
              </w:rPr>
              <w:t>我省</w:t>
            </w:r>
            <w:r>
              <w:rPr>
                <w:rFonts w:ascii="仿宋_GB2312" w:hAnsi="仿宋_GB2312" w:cs="仿宋_GB2312" w:eastAsia="仿宋_GB2312"/>
                <w:sz w:val="21"/>
              </w:rPr>
              <w:t>农村</w:t>
            </w:r>
            <w:r>
              <w:rPr>
                <w:rFonts w:ascii="仿宋_GB2312" w:hAnsi="仿宋_GB2312" w:cs="仿宋_GB2312" w:eastAsia="仿宋_GB2312"/>
                <w:sz w:val="21"/>
              </w:rPr>
              <w:t>公路</w:t>
            </w:r>
            <w:r>
              <w:rPr>
                <w:rFonts w:ascii="仿宋_GB2312" w:hAnsi="仿宋_GB2312" w:cs="仿宋_GB2312" w:eastAsia="仿宋_GB2312"/>
                <w:sz w:val="21"/>
              </w:rPr>
              <w:t>信息化</w:t>
            </w:r>
            <w:r>
              <w:rPr>
                <w:rFonts w:ascii="仿宋_GB2312" w:hAnsi="仿宋_GB2312" w:cs="仿宋_GB2312" w:eastAsia="仿宋_GB2312"/>
                <w:sz w:val="21"/>
              </w:rPr>
              <w:t>建设</w:t>
            </w:r>
            <w:r>
              <w:rPr>
                <w:rFonts w:ascii="仿宋_GB2312" w:hAnsi="仿宋_GB2312" w:cs="仿宋_GB2312" w:eastAsia="仿宋_GB2312"/>
                <w:sz w:val="21"/>
              </w:rPr>
              <w:t>提供</w:t>
            </w:r>
            <w:r>
              <w:rPr>
                <w:rFonts w:ascii="仿宋_GB2312" w:hAnsi="仿宋_GB2312" w:cs="仿宋_GB2312" w:eastAsia="仿宋_GB2312"/>
                <w:sz w:val="21"/>
              </w:rPr>
              <w:t>支持。</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搭建</w:t>
            </w:r>
            <w:r>
              <w:rPr>
                <w:rFonts w:ascii="仿宋_GB2312" w:hAnsi="仿宋_GB2312" w:cs="仿宋_GB2312" w:eastAsia="仿宋_GB2312"/>
                <w:sz w:val="21"/>
              </w:rPr>
              <w:t>具有一定基础</w:t>
            </w:r>
            <w:r>
              <w:rPr>
                <w:rFonts w:ascii="仿宋_GB2312" w:hAnsi="仿宋_GB2312" w:cs="仿宋_GB2312" w:eastAsia="仿宋_GB2312"/>
                <w:sz w:val="21"/>
              </w:rPr>
              <w:t>展示</w:t>
            </w:r>
            <w:r>
              <w:rPr>
                <w:rFonts w:ascii="仿宋_GB2312" w:hAnsi="仿宋_GB2312" w:cs="仿宋_GB2312" w:eastAsia="仿宋_GB2312"/>
                <w:sz w:val="21"/>
              </w:rPr>
              <w:t>功能的可视化驾驶舱</w:t>
            </w:r>
          </w:p>
          <w:p>
            <w:pPr>
              <w:pStyle w:val="null3"/>
              <w:ind w:firstLine="420"/>
              <w:jc w:val="left"/>
            </w:pPr>
            <w:r>
              <w:rPr>
                <w:rFonts w:ascii="仿宋_GB2312" w:hAnsi="仿宋_GB2312" w:cs="仿宋_GB2312" w:eastAsia="仿宋_GB2312"/>
                <w:sz w:val="21"/>
              </w:rPr>
              <w:t>中标单位需积极整合我省现有数据系统，搭建具备一定基础</w:t>
            </w:r>
            <w:r>
              <w:rPr>
                <w:rFonts w:ascii="仿宋_GB2312" w:hAnsi="仿宋_GB2312" w:cs="仿宋_GB2312" w:eastAsia="仿宋_GB2312"/>
                <w:sz w:val="21"/>
              </w:rPr>
              <w:t>展示</w:t>
            </w:r>
            <w:r>
              <w:rPr>
                <w:rFonts w:ascii="仿宋_GB2312" w:hAnsi="仿宋_GB2312" w:cs="仿宋_GB2312" w:eastAsia="仿宋_GB2312"/>
                <w:sz w:val="21"/>
              </w:rPr>
              <w:t>功能的可视化驾驶舱，</w:t>
            </w:r>
            <w:r>
              <w:rPr>
                <w:rFonts w:ascii="仿宋_GB2312" w:hAnsi="仿宋_GB2312" w:cs="仿宋_GB2312" w:eastAsia="仿宋_GB2312"/>
                <w:sz w:val="21"/>
              </w:rPr>
              <w:t>展示</w:t>
            </w:r>
            <w:r>
              <w:rPr>
                <w:rFonts w:ascii="仿宋_GB2312" w:hAnsi="仿宋_GB2312" w:cs="仿宋_GB2312" w:eastAsia="仿宋_GB2312"/>
                <w:sz w:val="21"/>
              </w:rPr>
              <w:t>农村公路</w:t>
            </w:r>
            <w:r>
              <w:rPr>
                <w:rFonts w:ascii="仿宋_GB2312" w:hAnsi="仿宋_GB2312" w:cs="仿宋_GB2312" w:eastAsia="仿宋_GB2312"/>
                <w:sz w:val="21"/>
              </w:rPr>
              <w:t>“</w:t>
            </w:r>
            <w:r>
              <w:rPr>
                <w:rFonts w:ascii="仿宋_GB2312" w:hAnsi="仿宋_GB2312" w:cs="仿宋_GB2312" w:eastAsia="仿宋_GB2312"/>
                <w:sz w:val="21"/>
              </w:rPr>
              <w:t>一路一档</w:t>
            </w:r>
            <w:r>
              <w:rPr>
                <w:rFonts w:ascii="仿宋_GB2312" w:hAnsi="仿宋_GB2312" w:cs="仿宋_GB2312" w:eastAsia="仿宋_GB2312"/>
                <w:sz w:val="21"/>
              </w:rPr>
              <w:t>”</w:t>
            </w:r>
            <w:r>
              <w:rPr>
                <w:rFonts w:ascii="仿宋_GB2312" w:hAnsi="仿宋_GB2312" w:cs="仿宋_GB2312" w:eastAsia="仿宋_GB2312"/>
                <w:sz w:val="21"/>
              </w:rPr>
              <w:t>信息化建设</w:t>
            </w:r>
            <w:r>
              <w:rPr>
                <w:rFonts w:ascii="仿宋_GB2312" w:hAnsi="仿宋_GB2312" w:cs="仿宋_GB2312" w:eastAsia="仿宋_GB2312"/>
                <w:sz w:val="21"/>
              </w:rPr>
              <w:t>初步</w:t>
            </w:r>
            <w:r>
              <w:rPr>
                <w:rFonts w:ascii="仿宋_GB2312" w:hAnsi="仿宋_GB2312" w:cs="仿宋_GB2312" w:eastAsia="仿宋_GB2312"/>
                <w:sz w:val="21"/>
              </w:rPr>
              <w:t>成果。</w:t>
            </w:r>
          </w:p>
          <w:p>
            <w:pPr>
              <w:pStyle w:val="null3"/>
              <w:ind w:right="105"/>
              <w:jc w:val="left"/>
            </w:pPr>
            <w:r>
              <w:rPr>
                <w:rFonts w:ascii="仿宋_GB2312" w:hAnsi="仿宋_GB2312" w:cs="仿宋_GB2312" w:eastAsia="仿宋_GB2312"/>
                <w:sz w:val="21"/>
              </w:rPr>
              <w:t>1.</w:t>
            </w:r>
            <w:r>
              <w:rPr>
                <w:rFonts w:ascii="仿宋_GB2312" w:hAnsi="仿宋_GB2312" w:cs="仿宋_GB2312" w:eastAsia="仿宋_GB2312"/>
                <w:sz w:val="21"/>
              </w:rPr>
              <w:t>整合一个数据基础：充分发掘现有全省农村公路数据报送各类系统的基础功能，整合包含年报统计系统、“以奖代补”系统，公路养护管理系统等已有系统的数据来源，按照“来源可溯、去向明确、实时更新”的原则，形成可用于驾驶舱功能实现的数据基础。</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丰富多维展示界面：</w:t>
            </w:r>
            <w:r>
              <w:rPr>
                <w:rFonts w:ascii="仿宋_GB2312" w:hAnsi="仿宋_GB2312" w:cs="仿宋_GB2312" w:eastAsia="仿宋_GB2312"/>
                <w:sz w:val="21"/>
              </w:rPr>
              <w:t>乙方搭建的可视化驾驶舱，需实现数据信息的多维展示。包括</w:t>
            </w:r>
            <w:r>
              <w:rPr>
                <w:rFonts w:ascii="仿宋_GB2312" w:hAnsi="仿宋_GB2312" w:cs="仿宋_GB2312" w:eastAsia="仿宋_GB2312"/>
                <w:sz w:val="21"/>
              </w:rPr>
              <w:t>路产信息展示</w:t>
            </w:r>
            <w:r>
              <w:rPr>
                <w:rFonts w:ascii="仿宋_GB2312" w:hAnsi="仿宋_GB2312" w:cs="仿宋_GB2312" w:eastAsia="仿宋_GB2312"/>
                <w:sz w:val="21"/>
              </w:rPr>
              <w:t>,</w:t>
            </w:r>
            <w:r>
              <w:rPr>
                <w:rFonts w:ascii="仿宋_GB2312" w:hAnsi="仿宋_GB2312" w:cs="仿宋_GB2312" w:eastAsia="仿宋_GB2312"/>
                <w:sz w:val="21"/>
              </w:rPr>
              <w:t>主要展示农村公路资产分布、路网运行情况；</w:t>
            </w:r>
            <w:r>
              <w:rPr>
                <w:rFonts w:ascii="仿宋_GB2312" w:hAnsi="仿宋_GB2312" w:cs="仿宋_GB2312" w:eastAsia="仿宋_GB2312"/>
                <w:sz w:val="21"/>
              </w:rPr>
              <w:t>路况监测展示</w:t>
            </w:r>
            <w:r>
              <w:rPr>
                <w:rFonts w:ascii="仿宋_GB2312" w:hAnsi="仿宋_GB2312" w:cs="仿宋_GB2312" w:eastAsia="仿宋_GB2312"/>
                <w:sz w:val="21"/>
              </w:rPr>
              <w:t>，主要展示公路技术状况评定数据，各级路况水平分析汇总；</w:t>
            </w:r>
            <w:r>
              <w:rPr>
                <w:rFonts w:ascii="仿宋_GB2312" w:hAnsi="仿宋_GB2312" w:cs="仿宋_GB2312" w:eastAsia="仿宋_GB2312"/>
                <w:sz w:val="21"/>
              </w:rPr>
              <w:t>养护管理展示</w:t>
            </w:r>
            <w:r>
              <w:rPr>
                <w:rFonts w:ascii="仿宋_GB2312" w:hAnsi="仿宋_GB2312" w:cs="仿宋_GB2312" w:eastAsia="仿宋_GB2312"/>
                <w:sz w:val="21"/>
              </w:rPr>
              <w:t>，主要展示日常养护、养护工程的执行情况，养护计划的完成进度、养护考核评估结果等信息；</w:t>
            </w:r>
            <w:r>
              <w:rPr>
                <w:rFonts w:ascii="仿宋_GB2312" w:hAnsi="仿宋_GB2312" w:cs="仿宋_GB2312" w:eastAsia="仿宋_GB2312"/>
                <w:sz w:val="21"/>
              </w:rPr>
              <w:t>建设管理展示，</w:t>
            </w:r>
            <w:r>
              <w:rPr>
                <w:rFonts w:ascii="仿宋_GB2312" w:hAnsi="仿宋_GB2312" w:cs="仿宋_GB2312" w:eastAsia="仿宋_GB2312"/>
                <w:sz w:val="21"/>
              </w:rPr>
              <w:t>主要展示农村公路建设项目整体进度、资金使用情况、质量检测结果信息；</w:t>
            </w:r>
            <w:r>
              <w:rPr>
                <w:rFonts w:ascii="仿宋_GB2312" w:hAnsi="仿宋_GB2312" w:cs="仿宋_GB2312" w:eastAsia="仿宋_GB2312"/>
                <w:sz w:val="21"/>
              </w:rPr>
              <w:t>路长制运行情况展示，</w:t>
            </w:r>
            <w:r>
              <w:rPr>
                <w:rFonts w:ascii="仿宋_GB2312" w:hAnsi="仿宋_GB2312" w:cs="仿宋_GB2312" w:eastAsia="仿宋_GB2312"/>
                <w:sz w:val="21"/>
              </w:rPr>
              <w:t>主要展示全省农村公路路长信息、路长公示牌设置等；</w:t>
            </w:r>
            <w:r>
              <w:rPr>
                <w:rFonts w:ascii="仿宋_GB2312" w:hAnsi="仿宋_GB2312" w:cs="仿宋_GB2312" w:eastAsia="仿宋_GB2312"/>
                <w:sz w:val="21"/>
              </w:rPr>
              <w:t>整合数据分析成果展示，</w:t>
            </w:r>
            <w:r>
              <w:rPr>
                <w:rFonts w:ascii="仿宋_GB2312" w:hAnsi="仿宋_GB2312" w:cs="仿宋_GB2312" w:eastAsia="仿宋_GB2312"/>
                <w:sz w:val="21"/>
              </w:rPr>
              <w:t>主要展示不同时期、不同行政区域等时间和空间上的趋势分析以及横纵向比较，养护投入和路况水平的关联性分析等。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科学研究和技术服务业-专业技术服务业-质检技术服务）。从业人员300人以下的为中小微型企业。其中，从业人员100人及以上的为中型企业；从业人员10人及以上的为小型企业；从业人员10人以下的为微型企业。 本项目同时接受采购人纪律检查部门监督联系人：省局纪检监察室，电话：88408772。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履约验收的内容：包括磋商文件“第三章 磋商项目技术、服务、商务及其他要求”中明确得服务要求各项内容以及合同约定时限等完成情况，重点审查乙方所提交的“一路一档”信息化建设方案的完整性、准确性、合理性；对搭建的可视化驾驶舱功能的完备性和易用性等方面予以审查。 履约验收的方式：项目完成全部工作内容后，由甲方负责组织专家对乙方提交的报告以及搭建的驾驶舱功能展开评审，组织局相关部门召开合同履约情况验收会议。经评审确定合格后，向乙方出具相关履约验收书。 履约验收的标准：磋商文件及合同文件要求。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甲方在双方签署合同且收到履约保证金及增值税普通发票后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乙方编制完成项目调研报告、工作方案等，并通过甲方技术审查合格后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乙方搭建的驾驶舱界面符合预期要求，并通过甲方技术审查合格后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1．因甲方原因造成乙方停工、返工及合同停止，乙方不承担违约责任。 2．乙方未经甲方同意将项目中的部分工作任务分包给第三方，或将项目转包给第三方承担，甲方有权要求乙方予以纠正或解除合同。乙方分包或转包的，相应责任仍由乙方承担。 3．乙方向甲方提交的所有资料成果必须保证真实可靠，一经发现存在弄虚作假的行为，甲方有权追索项目款，解除合同，乙方应按照合同总金额的20%向甲方承担违约责任。 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司法机构解决。 5．若乙方未如期按照合同约定的任何或全部款项内容之要求提供服务及或乙方未能履行合同规定的任何其它义务时，甲方有权直接向乙方发出违约通知书，乙方应按照甲方选择的下列一种或多种方式承担赔偿责任及违约责任： 1)在甲方同意延长的期限内提供服务并承担由此给甲方造成的直接损失及甲方因此产生的对第三方的责任。 2)在甲方规定的时间内，用符合合同规定的服务以达到合同规定的要求，乙方应承担由此发生的相关费用并承担由此给甲方造成的直接损失及甲方因此产生的对第三方的责任。 3)根据服务低劣程度、损坏程度以及使甲方所遭受的损失及甲方因此产生的对第三方的责任，经双方商定降低服务或赔偿甲方所遭受的损失及甲方因此产生的对第三方的责任。 4)按合同规定的同种货币将甲方已支付的合同款全部退还给甲方，并承担由此发生的直接损失和相关费用及甲方因此产生的对第三方的责任。 5)甲方有权部分或全部解除合同并要求乙方赔偿由此造成的损失及甲方因此产生的对第三方的责任。此时甲方可采取必要的补救措施，相关费用由乙方承担。 6)此外，上述情形下甲方为采取必要的补救措施及或因防止损失扩大而支出的合理费用应由乙方承担。 6．如果乙方在收到甲方的违约通知书后十日内未作答复也没有按照甲方选择的方式承担违约责任，甲方有权解除合同，乙方应按照合同总金额的20%向甲方承担违约责任，并赔偿给甲方造成的一切损失。 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金或赔偿责任。 8．如果乙方延期提供服务（包括阶段性时间），应按下列比例向甲方累计支付工期延误罚款：1周之内，每天罚款金额2000元，2周至4周，从违约之日起至第4周每天罚款金额3000元。累计罚款超过合同金额10%或延期服务超过4周，甲方有权终止合同，并有权要求乙方承担甲方因此所受的全部损失。 9．在本项目过程中，如果甲方要求，乙方应立即从现场撤出甲方认为不能恰当地履行其职责或有不当行为的人员，且应尽快替换以称职的人员。 10.以上各项交付的违约金并不影响违约方履行合同的各项义务。 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提供具有财务审计资质单位出具的2023年或2024年度财务审计报告或开标前六个月内其基本账户银行出具的资信证明或政府采购信用担保机构出具的投标担保函；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响应函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法定代表人参加投标的，提供本人身份证复印件并出示身份证扫描件；法定代表人授权他人参加投标的，提供法定代表人授权委托书并出示被授权代表的身份证扫描件；</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提供具有财务审计资质单位出具的2023年或2024年度财务审计报告或开标前六个月内其基本账户银行出具的资信证明或政府采购信用担保机构出具的投标担保函；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提供供应商自投标以来近一年（2024年5月至今）任意一个月完税凭证或税务机关开具的完税证明（任意税种）；依法免税的应提供相关文件证明；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提供供应商自投标以来近一年（2024年5月至今）任意一个月的社会保障资金缴存单据或社保机构开具的社会保险参保缴费情况证明；依法不需要缴纳社会保障资金的应提供相关文件证明；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供应商不得被“信用中国”网站（www.creditchina.gov.cn）和中国政府采购网站（www.ccgp.gov.cn）列入失信被执行人、重大税收违法案件当事人名单、政府采购严重违法失信行为记录名单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 （5）不同供应商的响应文件相互混装； （6）不同供应商的磋商保证金从同一单位或者个人的账户转出（仅限供应商须知前附表要求供应商提交磋商保证金的）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服务内容及服务邀请应答表 技术文件.docx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投标人应按竞争性磋商文件要求对招标文件进行电子签章。</w:t>
            </w:r>
          </w:p>
        </w:tc>
        <w:tc>
          <w:tcPr>
            <w:tcW w:type="dxa" w:w="1661"/>
          </w:tcPr>
          <w:p>
            <w:pPr>
              <w:pStyle w:val="null3"/>
            </w:pPr>
            <w:r>
              <w:rPr>
                <w:rFonts w:ascii="仿宋_GB2312" w:hAnsi="仿宋_GB2312" w:cs="仿宋_GB2312" w:eastAsia="仿宋_GB2312"/>
              </w:rPr>
              <w:t>服务内容及服务邀请应答表 技术文件.docx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服务内容及服务邀请应答表 技术文件.docx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技术文件.docx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提供2022年1月1日以来类似项目的业绩，每份5分，满分15分。 注：近3年(2022年1月1日以来)，以合同签订时间为准的业绩，需提供合同复印件、并加盖供应商企业公章。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1、投标人提供与本项目相关的计算机软件著作权登记证书，每提供一个相关的得1.5分，最高得3分；不提供不得分。 2、投标人具有质量管理体系认证证书，提供证书复印件，满足得3分，不提供不得分； 3、投标人具有信息技术服务管理体系认证证书，提供证书复印件，满足得3分，不提供不得分； 4、投标人具有信息安全管理体系认证证书，提供证书复印件，满足得3分，不提供不得分；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投标人为本项目配备的技术服务团队，主要人员应包括IT服务项目经理1人，信息系统项目管理师1人，系统架构设计师1人，ITIL认证工程师1人，并提供企业为员工缴纳的近一年连续3个月的社保证明，资质证书需提供复印件并加盖投标人公章，每提供一项得2分，完全满足得8分。 评审依据：项目人员需在响应文件中附可查询的近一年连续3个月的社保证明，未提供不得分。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供应商资格证明文件.pdf</w:t>
            </w:r>
          </w:p>
        </w:tc>
      </w:tr>
      <w:tr>
        <w:tc>
          <w:tcPr>
            <w:tcW w:type="dxa" w:w="831"/>
            <w:vMerge/>
          </w:tcPr>
          <w:p/>
        </w:tc>
        <w:tc>
          <w:tcPr>
            <w:tcW w:type="dxa" w:w="1661"/>
          </w:tcPr>
          <w:p>
            <w:pPr>
              <w:pStyle w:val="null3"/>
            </w:pPr>
            <w:r>
              <w:rPr>
                <w:rFonts w:ascii="仿宋_GB2312" w:hAnsi="仿宋_GB2312" w:cs="仿宋_GB2312" w:eastAsia="仿宋_GB2312"/>
              </w:rPr>
              <w:t>一路一档”信息化建设工作方案技术方案</w:t>
            </w:r>
          </w:p>
        </w:tc>
        <w:tc>
          <w:tcPr>
            <w:tcW w:type="dxa" w:w="2492"/>
          </w:tcPr>
          <w:p>
            <w:pPr>
              <w:pStyle w:val="null3"/>
            </w:pPr>
            <w:r>
              <w:rPr>
                <w:rFonts w:ascii="仿宋_GB2312" w:hAnsi="仿宋_GB2312" w:cs="仿宋_GB2312" w:eastAsia="仿宋_GB2312"/>
              </w:rPr>
              <w:t>1、根据各投标人技术方案中对农村公路“一路一档”信息化建设工作方案的①项目背景及调研情况、②总体建设方案、③科学设置功能模块、④构建必要的安全保障体系、⑤项目实施阶段计划与运维方案、⑥投资估算和效益分析等方面设计的先进性、合理性、完整性及满足用户要求方面进行评审。 注：每提供一项得3分，最多得18分。在此基础上，方案中存在缺陷的，每1项中每有1处扣0.5分，每项最多扣3分，扣完为止。内容缺陷是指：内容不合理、虽有内容但不完整或缺少关键节点、内容前后矛盾、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可视化驾驶舱技术方案</w:t>
            </w:r>
          </w:p>
        </w:tc>
        <w:tc>
          <w:tcPr>
            <w:tcW w:type="dxa" w:w="2492"/>
          </w:tcPr>
          <w:p>
            <w:pPr>
              <w:pStyle w:val="null3"/>
            </w:pPr>
            <w:r>
              <w:rPr>
                <w:rFonts w:ascii="仿宋_GB2312" w:hAnsi="仿宋_GB2312" w:cs="仿宋_GB2312" w:eastAsia="仿宋_GB2312"/>
              </w:rPr>
              <w:t>1、根据各投标人技术方案中对可视化驾驶舱工作方案的①整合数据基础能力、分析成果展示②路产信息展示、路况监测展示③养护管理展示、建设管理展示④路长制运行情况展示等方面设计的先进性、合理性、完整性及满足用户要求方面进行评审。 注：每提供一项得3分，最多得12分。在此基础上，方案中存在缺陷的，每1项中每有1处扣0.5分，每项最多扣3分，扣完为止。内容缺陷是指：内容不合理、虽有内容但不完整或缺少关键节点、内容前后矛盾、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项目的特点及关键性技术问题的对策措施</w:t>
            </w:r>
          </w:p>
        </w:tc>
        <w:tc>
          <w:tcPr>
            <w:tcW w:type="dxa" w:w="2492"/>
          </w:tcPr>
          <w:p>
            <w:pPr>
              <w:pStyle w:val="null3"/>
            </w:pPr>
            <w:r>
              <w:rPr>
                <w:rFonts w:ascii="仿宋_GB2312" w:hAnsi="仿宋_GB2312" w:cs="仿宋_GB2312" w:eastAsia="仿宋_GB2312"/>
              </w:rPr>
              <w:t>投标人编写项目的特点及关键性技术问题的对策措施，对策措施应具有完整性、合理性及针对性，根据响应程度打分。 评审标准： （1）完整性（4分）：内容全面详尽，对各方面有详细的描述和说明。 能够逐条罗列项目的特点及关键性技术问题且制定对策措施全面的得4分，项目特点及关键性技术问题分析内容基本全面、提出的解决对策基本满足项目实际的得3分；内容简单，可行性一般，得2分；未提供或不满足要求的不得分。 （2）合理性（4分）：项目切合实际，措施科学明确、思路清晰，科学合理。 对项目的特点及关键性技术问题提出或制定对策措施的切实可行、有价值的得4分；提出或制定对策措施能基本满足项目特点，基本合理可行的得3分；提出或制定对策措施合理性、可行性差的得2分；未提供或不满足要求的不得分。 （3）针对性（4分）：紧扣项目特点和采购需求，针对性强。 项目的特点及关键性技术问题的对策措施：逐条罗列项目特点及关键性技术问题，且对策措施全面，有价值、针对性强的得4分；基本满足需求，对项目特点及重难点问题分析内容及对策贴合项目实际内容、有一定的针对性的得3分；对项目特点，关键性、重难点技术问题分析及解决对策简单，针对性一般，得2分；未提供或不满足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投标人针对本项目制定项目培训方案，从培训计划及进度、培训内容和重点、培训方式和组织、培训成效考核和评估等方面进行评审： 注：每提供一项得2分，最多得8分。在此基础上，方案中存在缺陷的，每1项中每有1处扣0.5分，每项最多扣2分，扣完为止。内容缺陷是指：内容不合理、虽有内容但不完整或缺少关键节点、内容前后矛盾、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