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版本号：ZBZB-2025-261920250521001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陕西“十五五”口岸高质量发展研究</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ZBZB-2025-2619</w:t>
      </w:r>
      <w:r>
        <w:br/>
      </w:r>
      <w:r>
        <w:br/>
      </w:r>
      <w:r>
        <w:br/>
      </w:r>
    </w:p>
    <w:p>
      <w:pPr>
        <w:pStyle w:val="null3"/>
        <w:jc w:val="center"/>
        <w:outlineLvl w:val="2"/>
      </w:pPr>
      <w:r>
        <w:rPr>
          <w:rFonts w:ascii="仿宋_GB2312" w:hAnsi="仿宋_GB2312" w:cs="仿宋_GB2312" w:eastAsia="仿宋_GB2312"/>
          <w:sz w:val="28"/>
          <w:b/>
        </w:rPr>
        <w:t>陕西省商务厅机关</w:t>
      </w:r>
    </w:p>
    <w:p>
      <w:pPr>
        <w:pStyle w:val="null3"/>
        <w:jc w:val="center"/>
        <w:outlineLvl w:val="2"/>
      </w:pPr>
      <w:r>
        <w:rPr>
          <w:rFonts w:ascii="仿宋_GB2312" w:hAnsi="仿宋_GB2312" w:cs="仿宋_GB2312" w:eastAsia="仿宋_GB2312"/>
          <w:sz w:val="28"/>
          <w:b/>
        </w:rPr>
        <w:t>陕西正邦招标有限责任公司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2025年05月21日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陕西正邦招标有限责任公司</w:t>
      </w:r>
      <w:r>
        <w:rPr>
          <w:rFonts w:ascii="仿宋_GB2312" w:hAnsi="仿宋_GB2312" w:cs="仿宋_GB2312" w:eastAsia="仿宋_GB2312"/>
        </w:rPr>
        <w:t>（以下简称“代理机构”）受</w:t>
      </w:r>
      <w:r>
        <w:rPr>
          <w:rFonts w:ascii="仿宋_GB2312" w:hAnsi="仿宋_GB2312" w:cs="仿宋_GB2312" w:eastAsia="仿宋_GB2312"/>
        </w:rPr>
        <w:t>陕西省商务厅机关</w:t>
      </w:r>
      <w:r>
        <w:rPr>
          <w:rFonts w:ascii="仿宋_GB2312" w:hAnsi="仿宋_GB2312" w:cs="仿宋_GB2312" w:eastAsia="仿宋_GB2312"/>
        </w:rPr>
        <w:t>委托，拟对</w:t>
      </w:r>
      <w:r>
        <w:rPr>
          <w:rFonts w:ascii="仿宋_GB2312" w:hAnsi="仿宋_GB2312" w:cs="仿宋_GB2312" w:eastAsia="仿宋_GB2312"/>
        </w:rPr>
        <w:t>陕西“十五五”口岸高质量发展研究</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ZBZB-2025-2619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陕西“十五五”口岸高质量发展研究</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陕西“十五五”口岸高质量发展研究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w:t>
      </w:r>
    </w:p>
    <w:p>
      <w:pPr>
        <w:pStyle w:val="null3"/>
      </w:pPr>
      <w:r>
        <w:rPr>
          <w:rFonts w:ascii="仿宋_GB2312" w:hAnsi="仿宋_GB2312" w:cs="仿宋_GB2312" w:eastAsia="仿宋_GB2312"/>
        </w:rPr>
        <w:t>2、授权委托：供应商应授权合法的人员参加投标全过程，其中法定代表人/负责人直接投标，须提交法定代表人/负责人身份证明书和身份证复印件。法定代表人/负责人授权代表参加投标的，须出具法定代表人/负责人授权书及授权代表身份证复印件；</w:t>
      </w:r>
    </w:p>
    <w:p>
      <w:pPr>
        <w:pStyle w:val="null3"/>
      </w:pPr>
      <w:r>
        <w:rPr>
          <w:rFonts w:ascii="仿宋_GB2312" w:hAnsi="仿宋_GB2312" w:cs="仿宋_GB2312" w:eastAsia="仿宋_GB2312"/>
        </w:rPr>
        <w:t>3、财务状况：提供2023或2024年度财务审计报告（至少包括常规和三表一注，成立时间至提交磋商响应文件截止时间不足一年的可提供成立后任意时段的资产负债表），或其开标前六个月内基本存款账户开户银行出具的资信证明；</w:t>
      </w:r>
    </w:p>
    <w:p>
      <w:pPr>
        <w:pStyle w:val="null3"/>
      </w:pPr>
      <w:r>
        <w:rPr>
          <w:rFonts w:ascii="仿宋_GB2312" w:hAnsi="仿宋_GB2312" w:cs="仿宋_GB2312" w:eastAsia="仿宋_GB2312"/>
        </w:rPr>
        <w:t>4、社会保障资金缴纳证明：提供2024年11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代缴代办社会保障资金不予认可。）</w:t>
      </w:r>
    </w:p>
    <w:p>
      <w:pPr>
        <w:pStyle w:val="null3"/>
      </w:pPr>
      <w:r>
        <w:rPr>
          <w:rFonts w:ascii="仿宋_GB2312" w:hAnsi="仿宋_GB2312" w:cs="仿宋_GB2312" w:eastAsia="仿宋_GB2312"/>
        </w:rPr>
        <w:t>5、税收缴纳证明：提供2024年11月1日至投标文件递交截止日已缴纳的任意一个月的纳税证明或完税证明（时间以税款所属日期为准，提供增值税、企业所得税、印花税、附加税至少一种），纳税证明或完税证明上应有代收机构或税务机关的公章，依法免税的单位应提供相关证明材料（以上三种形式的资料提供任何一种即可）；</w:t>
      </w:r>
    </w:p>
    <w:p>
      <w:pPr>
        <w:pStyle w:val="null3"/>
      </w:pPr>
      <w:r>
        <w:rPr>
          <w:rFonts w:ascii="仿宋_GB2312" w:hAnsi="仿宋_GB2312" w:cs="仿宋_GB2312" w:eastAsia="仿宋_GB2312"/>
        </w:rPr>
        <w:t>6、书面声明（信用记录）：提供《供应商信用记录书面声明函》。经查，投标人未被列入“信用中国”网站记录的“失信被执行人”或“重大税收违法失信主体”名单；不处于“中国政府采购网”记录的“政府采购严重违法失信行为记录名单”中的禁止参加政府采购活动期间；</w:t>
      </w:r>
    </w:p>
    <w:p>
      <w:pPr>
        <w:pStyle w:val="null3"/>
      </w:pPr>
      <w:r>
        <w:rPr>
          <w:rFonts w:ascii="仿宋_GB2312" w:hAnsi="仿宋_GB2312" w:cs="仿宋_GB2312" w:eastAsia="仿宋_GB2312"/>
        </w:rPr>
        <w:t>7、承诺书：提供具有履行合同所必需的设备和专业技术能力的承诺书。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陕西省商务厅机关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西安市新城大院</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029-63914056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陕西正邦招标有限责任公司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西安市雁塔区朱雀大街南段69号长丰园三区5号楼9层9006室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029-85578186转838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采购包1保证金金额：4,000.00元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开户名称：陕西正邦招标有限责任公司</w:t>
            </w:r>
          </w:p>
          <w:p>
            <w:pPr>
              <w:pStyle w:val="null3"/>
            </w:pPr>
            <w:r>
              <w:rPr>
                <w:rFonts w:ascii="仿宋_GB2312" w:hAnsi="仿宋_GB2312" w:cs="仿宋_GB2312" w:eastAsia="仿宋_GB2312"/>
              </w:rPr>
              <w:t>开户银行：平安银行西安分行营业部/平安银行西安分行</w:t>
            </w:r>
          </w:p>
          <w:p>
            <w:pPr>
              <w:pStyle w:val="null3"/>
            </w:pPr>
            <w:r>
              <w:rPr>
                <w:rFonts w:ascii="仿宋_GB2312" w:hAnsi="仿宋_GB2312" w:cs="仿宋_GB2312" w:eastAsia="仿宋_GB2312"/>
              </w:rPr>
              <w:t>银行账号：30205380001872</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发改价格【2011】534号文规定，经协商由成交供应商向采购代理机构支付招标代理服务费（包含“招标代理费、会务费（如有）”），如本项目各包服务费不足伍仟元则供应商按伍仟元支付服务费。 缴费信息如下： 开户名称：陕西正邦招标有限责任公司 开户银行：平安银行西安分行营业部/平安银行西安分行 银行账号：30205380001872</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陕西省商务厅机关</w:t>
      </w:r>
      <w:r>
        <w:rPr>
          <w:rFonts w:ascii="仿宋_GB2312" w:hAnsi="仿宋_GB2312" w:cs="仿宋_GB2312" w:eastAsia="仿宋_GB2312"/>
        </w:rPr>
        <w:t>和</w:t>
      </w:r>
      <w:r>
        <w:rPr>
          <w:rFonts w:ascii="仿宋_GB2312" w:hAnsi="仿宋_GB2312" w:cs="仿宋_GB2312" w:eastAsia="仿宋_GB2312"/>
        </w:rPr>
        <w:t>陕西正邦招标有限责任公司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陕西省商务厅机关</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陕西正邦招标有限责任公司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陕西省商务厅机关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陕西正邦招标有限责任公司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陕西正邦招标有限责任公司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陕西正邦招标有限责任公司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陕西正邦招标有限责任公司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联系人：张工</w:t>
      </w:r>
    </w:p>
    <w:p>
      <w:pPr>
        <w:pStyle w:val="null3"/>
      </w:pPr>
      <w:r>
        <w:rPr>
          <w:rFonts w:ascii="仿宋_GB2312" w:hAnsi="仿宋_GB2312" w:cs="仿宋_GB2312" w:eastAsia="仿宋_GB2312"/>
        </w:rPr>
        <w:t>联系电话：029-85578186转838</w:t>
      </w:r>
    </w:p>
    <w:p>
      <w:pPr>
        <w:pStyle w:val="null3"/>
      </w:pPr>
      <w:r>
        <w:rPr>
          <w:rFonts w:ascii="仿宋_GB2312" w:hAnsi="仿宋_GB2312" w:cs="仿宋_GB2312" w:eastAsia="仿宋_GB2312"/>
        </w:rPr>
        <w:t>地址：西安市雁塔区朱雀大街南段69号长丰园三区5号楼9层9006室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陕西“十五五”口岸高质量发展研究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w:t>
      </w:r>
    </w:p>
    <w:p>
      <w:pPr>
        <w:pStyle w:val="null3"/>
      </w:pPr>
      <w:r>
        <w:rPr>
          <w:rFonts w:ascii="仿宋_GB2312" w:hAnsi="仿宋_GB2312" w:cs="仿宋_GB2312" w:eastAsia="仿宋_GB2312"/>
        </w:rPr>
        <w:t>采购包最高限价（元）: 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课题项目研究</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标的名称：课题项目研究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0"/>
              <w:jc w:val="left"/>
            </w:pPr>
            <w:r>
              <w:rPr>
                <w:rFonts w:ascii="仿宋_GB2312" w:hAnsi="仿宋_GB2312" w:cs="仿宋_GB2312" w:eastAsia="仿宋_GB2312"/>
                <w:sz w:val="20"/>
              </w:rPr>
              <w:t>一、内容要求</w:t>
            </w:r>
          </w:p>
          <w:p>
            <w:pPr>
              <w:pStyle w:val="null3"/>
              <w:ind w:firstLine="400"/>
              <w:jc w:val="left"/>
            </w:pPr>
            <w:r>
              <w:rPr>
                <w:rFonts w:ascii="仿宋_GB2312" w:hAnsi="仿宋_GB2312" w:cs="仿宋_GB2312" w:eastAsia="仿宋_GB2312"/>
                <w:sz w:val="20"/>
              </w:rPr>
              <w:t>围绕智慧口岸建设、西安航空口岸国际客货运航线发展布局、省内支线航空口岸开放发展、中欧班列（西安）集结中心建设、陕西</w:t>
            </w:r>
            <w:r>
              <w:rPr>
                <w:rFonts w:ascii="仿宋_GB2312" w:hAnsi="仿宋_GB2312" w:cs="仿宋_GB2312" w:eastAsia="仿宋_GB2312"/>
                <w:sz w:val="20"/>
              </w:rPr>
              <w:t>“单一窗口”建设、综合保税区建设发展和规范管理等方面开展</w:t>
            </w:r>
            <w:r>
              <w:rPr>
                <w:rFonts w:ascii="仿宋_GB2312" w:hAnsi="仿宋_GB2312" w:cs="仿宋_GB2312" w:eastAsia="仿宋_GB2312"/>
                <w:sz w:val="20"/>
              </w:rPr>
              <w:t>课题研究，形成研究报告，研究报告总字数不得少于</w:t>
            </w:r>
            <w:r>
              <w:rPr>
                <w:rFonts w:ascii="仿宋_GB2312" w:hAnsi="仿宋_GB2312" w:cs="仿宋_GB2312" w:eastAsia="仿宋_GB2312"/>
                <w:sz w:val="20"/>
              </w:rPr>
              <w:t>5000字，必须</w:t>
            </w:r>
            <w:r>
              <w:rPr>
                <w:rFonts w:ascii="仿宋_GB2312" w:hAnsi="仿宋_GB2312" w:cs="仿宋_GB2312" w:eastAsia="仿宋_GB2312"/>
                <w:sz w:val="20"/>
              </w:rPr>
              <w:t>做到论点明确，论据充实，论证严密</w:t>
            </w:r>
            <w:r>
              <w:rPr>
                <w:rFonts w:ascii="仿宋_GB2312" w:hAnsi="仿宋_GB2312" w:cs="仿宋_GB2312" w:eastAsia="仿宋_GB2312"/>
                <w:sz w:val="20"/>
              </w:rPr>
              <w:t>，</w:t>
            </w:r>
            <w:r>
              <w:rPr>
                <w:rFonts w:ascii="仿宋_GB2312" w:hAnsi="仿宋_GB2312" w:cs="仿宋_GB2312" w:eastAsia="仿宋_GB2312"/>
                <w:sz w:val="20"/>
              </w:rPr>
              <w:t>能够对</w:t>
            </w:r>
            <w:r>
              <w:rPr>
                <w:rFonts w:ascii="仿宋_GB2312" w:hAnsi="仿宋_GB2312" w:cs="仿宋_GB2312" w:eastAsia="仿宋_GB2312"/>
                <w:sz w:val="20"/>
              </w:rPr>
              <w:t>“十五五”期间陕西省口岸建设发展工作起到一定的指导作用。</w:t>
            </w:r>
          </w:p>
          <w:p>
            <w:pPr>
              <w:pStyle w:val="null3"/>
              <w:ind w:firstLine="400"/>
              <w:jc w:val="left"/>
            </w:pPr>
            <w:r>
              <w:rPr>
                <w:rFonts w:ascii="仿宋_GB2312" w:hAnsi="仿宋_GB2312" w:cs="仿宋_GB2312" w:eastAsia="仿宋_GB2312"/>
                <w:sz w:val="20"/>
              </w:rPr>
              <w:t>二、时间要求</w:t>
            </w:r>
          </w:p>
          <w:p>
            <w:pPr>
              <w:pStyle w:val="null3"/>
              <w:ind w:firstLine="400"/>
              <w:jc w:val="left"/>
            </w:pPr>
            <w:r>
              <w:rPr>
                <w:rFonts w:ascii="仿宋_GB2312" w:hAnsi="仿宋_GB2312" w:cs="仿宋_GB2312" w:eastAsia="仿宋_GB2312"/>
                <w:sz w:val="20"/>
              </w:rPr>
              <w:t>6月中下旬，完成课题文稿，并召开专家论证会。</w:t>
            </w:r>
          </w:p>
          <w:p>
            <w:pPr>
              <w:pStyle w:val="null3"/>
              <w:ind w:firstLine="400"/>
              <w:jc w:val="left"/>
            </w:pPr>
            <w:r>
              <w:rPr>
                <w:rFonts w:ascii="仿宋_GB2312" w:hAnsi="仿宋_GB2312" w:cs="仿宋_GB2312" w:eastAsia="仿宋_GB2312"/>
                <w:sz w:val="20"/>
              </w:rPr>
              <w:t>7月上旬，审核定稿并呈报研究报告。</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达到服务要求所必须的人员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按采购人要求执行</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按采购人要求执行</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合同履行结束并验收合格后一次性付清</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违约责任：1．甲乙双方必须遵守本合同并执行合同中的各项规定，保证本合同的正常履行。 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 解决办法：1．在执行本合同中发生的或与本合同有关的争端，双方应通过友好协商解决，经协商在_10_天内不能达成协议时，则采取方式解决争议： （1）向甲方所在地有管辖权的人民法院提起诉讼； （2）向西安仲裁委员会按其仲裁规则申请仲裁。 2．在仲裁期间，本合同应继续履行。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1.供应商缴纳保证金时请备注：2619保证金。 2.（1）为保证项目存档使用供应商须提交纸质响应文件正本壹份、副本贰份。（2）纸质响应文件正、副本分别胶装递交，递交截止时间：开标后2个工作日之内，递交地址：西安市雁塔区朱雀大街南段69号长丰园三区5号楼9层9006室。（3）若电子响应文件与纸质响应文件不一致的，以电子响应文件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响应招标并参加投标的合法注册的企业法人、事业法人或其他组织。企业法人应提供合法有效的标识有统一社会信用代码的营业执照；事业法人应提供事业单位法人证书；其他组织应提供合法登记证明文件；</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w:t>
            </w:r>
          </w:p>
        </w:tc>
        <w:tc>
          <w:tcPr>
            <w:tcW w:type="dxa" w:w="3322"/>
          </w:tcPr>
          <w:p>
            <w:pPr>
              <w:pStyle w:val="null3"/>
            </w:pPr>
            <w:r>
              <w:rPr>
                <w:rFonts w:ascii="仿宋_GB2312" w:hAnsi="仿宋_GB2312" w:cs="仿宋_GB2312" w:eastAsia="仿宋_GB2312"/>
              </w:rPr>
              <w:t>供应商应授权合法的人员参加投标全过程，其中法定代表人/负责人直接投标，须提交法定代表人/负责人身份证明书和身份证复印件。法定代表人/负责人授权代表参加投标的，须出具法定代表人/负责人授权书及授权代表身份证复印件；</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2023或2024年度财务审计报告（至少包括常规和三表一注，成立时间至提交磋商响应文件截止时间不足一年的可提供成立后任意时段的资产负债表），或其开标前六个月内基本存款账户开户银行出具的资信证明；</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2024年11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代缴代办社会保障资金不予认可。）</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2024年11月1日至投标文件递交截止日已缴纳的任意一个月的纳税证明或完税证明（时间以税款所属日期为准，提供增值税、企业所得税、印花税、附加税至少一种），纳税证明或完税证明上应有代收机构或税务机关的公章，依法免税的单位应提供相关证明材料（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书面声明（信用记录）</w:t>
            </w:r>
          </w:p>
        </w:tc>
        <w:tc>
          <w:tcPr>
            <w:tcW w:type="dxa" w:w="3322"/>
          </w:tcPr>
          <w:p>
            <w:pPr>
              <w:pStyle w:val="null3"/>
            </w:pPr>
            <w:r>
              <w:rPr>
                <w:rFonts w:ascii="仿宋_GB2312" w:hAnsi="仿宋_GB2312" w:cs="仿宋_GB2312" w:eastAsia="仿宋_GB2312"/>
              </w:rPr>
              <w:t>提供《供应商信用记录书面声明函》。经查，投标人未被列入“信用中国”网站记录的“失信被执行人”或“重大税收违法失信主体”名单；不处于“中国政府采购网”记录的“政府采购严重违法失信行为记录名单”中的禁止参加政府采购活动期间；</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提供具有履行合同所必需的设备和专业技术能力的承诺书。</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供应商名称字章</w:t>
            </w:r>
          </w:p>
        </w:tc>
        <w:tc>
          <w:tcPr>
            <w:tcW w:type="dxa" w:w="3322"/>
          </w:tcPr>
          <w:p>
            <w:pPr>
              <w:pStyle w:val="null3"/>
            </w:pPr>
            <w:r>
              <w:rPr>
                <w:rFonts w:ascii="仿宋_GB2312" w:hAnsi="仿宋_GB2312" w:cs="仿宋_GB2312" w:eastAsia="仿宋_GB2312"/>
              </w:rPr>
              <w:t>供应商名称字章是否一致</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磋商响应文件的签字盖章</w:t>
            </w:r>
          </w:p>
        </w:tc>
        <w:tc>
          <w:tcPr>
            <w:tcW w:type="dxa" w:w="3322"/>
          </w:tcPr>
          <w:p>
            <w:pPr>
              <w:pStyle w:val="null3"/>
            </w:pPr>
            <w:r>
              <w:rPr>
                <w:rFonts w:ascii="仿宋_GB2312" w:hAnsi="仿宋_GB2312" w:cs="仿宋_GB2312" w:eastAsia="仿宋_GB2312"/>
              </w:rPr>
              <w:t>磋商响应文件的签字盖章是否按照磋商文件要求进行的</w:t>
            </w:r>
          </w:p>
        </w:tc>
        <w:tc>
          <w:tcPr>
            <w:tcW w:type="dxa" w:w="1661"/>
          </w:tcPr>
          <w:p>
            <w:pPr>
              <w:pStyle w:val="null3"/>
            </w:pPr>
            <w:r>
              <w:rPr>
                <w:rFonts w:ascii="仿宋_GB2312" w:hAnsi="仿宋_GB2312" w:cs="仿宋_GB2312" w:eastAsia="仿宋_GB2312"/>
              </w:rPr>
              <w:t>响应文件封面 服务内容及服务邀请应答表 商务应答表 服务方案 供应商应提交的相关资格证明材料 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磋商有效期是否满足磋商最低要求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磋商报价有效性</w:t>
            </w:r>
          </w:p>
        </w:tc>
        <w:tc>
          <w:tcPr>
            <w:tcW w:type="dxa" w:w="3322"/>
          </w:tcPr>
          <w:p>
            <w:pPr>
              <w:pStyle w:val="null3"/>
            </w:pPr>
            <w:r>
              <w:rPr>
                <w:rFonts w:ascii="仿宋_GB2312" w:hAnsi="仿宋_GB2312" w:cs="仿宋_GB2312" w:eastAsia="仿宋_GB2312"/>
              </w:rPr>
              <w:t>磋商报价是否唯一有效的或磋商报价是否超过采购预算</w:t>
            </w:r>
          </w:p>
        </w:tc>
        <w:tc>
          <w:tcPr>
            <w:tcW w:type="dxa" w:w="1661"/>
          </w:tcPr>
          <w:p>
            <w:pPr>
              <w:pStyle w:val="null3"/>
            </w:pPr>
            <w:r>
              <w:rPr>
                <w:rFonts w:ascii="仿宋_GB2312" w:hAnsi="仿宋_GB2312" w:cs="仿宋_GB2312" w:eastAsia="仿宋_GB2312"/>
              </w:rPr>
              <w:t>响应文件封面 标的清单 报价表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项目总体概况及对本项目的理解和总体规划思路</w:t>
            </w:r>
          </w:p>
        </w:tc>
        <w:tc>
          <w:tcPr>
            <w:tcW w:type="dxa" w:w="2492"/>
          </w:tcPr>
          <w:p>
            <w:pPr>
              <w:pStyle w:val="null3"/>
            </w:pPr>
            <w:r>
              <w:rPr>
                <w:rFonts w:ascii="仿宋_GB2312" w:hAnsi="仿宋_GB2312" w:cs="仿宋_GB2312" w:eastAsia="仿宋_GB2312"/>
              </w:rPr>
              <w:t>根据项目总体概况及对本项目的理解和总体规划思路的科学性、先进性、合 理性进行评分，合理得 8.1-12.0 分，较合理得 4.1-8.0 分，一般得 0-4.0 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工作范围及主要人员岗位职责阐述</w:t>
            </w:r>
          </w:p>
        </w:tc>
        <w:tc>
          <w:tcPr>
            <w:tcW w:type="dxa" w:w="2492"/>
          </w:tcPr>
          <w:p>
            <w:pPr>
              <w:pStyle w:val="null3"/>
            </w:pPr>
            <w:r>
              <w:rPr>
                <w:rFonts w:ascii="仿宋_GB2312" w:hAnsi="仿宋_GB2312" w:cs="仿宋_GB2312" w:eastAsia="仿宋_GB2312"/>
              </w:rPr>
              <w:t>根据工作范围及主要人员岗位职责阐述明确，配置合理、职能健全进行评分， 合理得 8.1-12.0 分，较合理得 4.1-8.0 分，一般得 0-4.0 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服务工作方案、程序及措施</w:t>
            </w:r>
          </w:p>
        </w:tc>
        <w:tc>
          <w:tcPr>
            <w:tcW w:type="dxa" w:w="2492"/>
          </w:tcPr>
          <w:p>
            <w:pPr>
              <w:pStyle w:val="null3"/>
            </w:pPr>
            <w:r>
              <w:rPr>
                <w:rFonts w:ascii="仿宋_GB2312" w:hAnsi="仿宋_GB2312" w:cs="仿宋_GB2312" w:eastAsia="仿宋_GB2312"/>
              </w:rPr>
              <w:t>根据服务工作方案、程序及措施的合理性、完善性进行评分，合理得 10.1-15.0 分，较合理得 5.1-10.0 分，一般得 0-5.0 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质量保证措施、进度保证措施</w:t>
            </w:r>
          </w:p>
        </w:tc>
        <w:tc>
          <w:tcPr>
            <w:tcW w:type="dxa" w:w="2492"/>
          </w:tcPr>
          <w:p>
            <w:pPr>
              <w:pStyle w:val="null3"/>
            </w:pPr>
            <w:r>
              <w:rPr>
                <w:rFonts w:ascii="仿宋_GB2312" w:hAnsi="仿宋_GB2312" w:cs="仿宋_GB2312" w:eastAsia="仿宋_GB2312"/>
              </w:rPr>
              <w:t>根据对质量保证措施、进度保证措施的可靠性、可实施性进行评分，合理得 8.1-12.0 分，较合理得 4.1-8.0 分，一般得 0-4.0 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工作制度及保密措施</w:t>
            </w:r>
          </w:p>
        </w:tc>
        <w:tc>
          <w:tcPr>
            <w:tcW w:type="dxa" w:w="2492"/>
          </w:tcPr>
          <w:p>
            <w:pPr>
              <w:pStyle w:val="null3"/>
            </w:pPr>
            <w:r>
              <w:rPr>
                <w:rFonts w:ascii="仿宋_GB2312" w:hAnsi="仿宋_GB2312" w:cs="仿宋_GB2312" w:eastAsia="仿宋_GB2312"/>
              </w:rPr>
              <w:t>根据对工作制度及保密措施的可靠性、可实施性进行评分，合理得 8.1-12.0 分，较合理得 4.1-8.0 分，一般得 0-4.0 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本项目工作的关键点分析及解决方案</w:t>
            </w:r>
          </w:p>
        </w:tc>
        <w:tc>
          <w:tcPr>
            <w:tcW w:type="dxa" w:w="2492"/>
          </w:tcPr>
          <w:p>
            <w:pPr>
              <w:pStyle w:val="null3"/>
            </w:pPr>
            <w:r>
              <w:rPr>
                <w:rFonts w:ascii="仿宋_GB2312" w:hAnsi="仿宋_GB2312" w:cs="仿宋_GB2312" w:eastAsia="仿宋_GB2312"/>
              </w:rPr>
              <w:t>根据对本项目工作的重点、难点分析及对策，合理得 8.1-12.0 分，较合理 得 4.1-8.0 分，一般得 0-4.0 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根据采购文件内容要求作出相关服务承诺，合理得 3.1-5.0 分，较合理得 1.1-3.0 分，一般得 0-1.0 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提供2022年5月至今同类项目，(以合同为准，复印件加盖公章)每份计2分，计满10分为止。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 xml:space="preserve"> 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