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15510">
      <w:pPr>
        <w:jc w:val="left"/>
        <w:rPr>
          <w:rFonts w:ascii="仿宋" w:hAnsi="仿宋" w:eastAsia="仿宋" w:cs="仿宋"/>
          <w:b/>
          <w:bCs/>
          <w:sz w:val="30"/>
          <w:szCs w:val="30"/>
          <w:highlight w:val="none"/>
        </w:rPr>
      </w:pPr>
      <w:bookmarkStart w:id="0" w:name="_Toc27511"/>
      <w:bookmarkStart w:id="1" w:name="_Toc23166"/>
      <w:r>
        <w:rPr>
          <w:rFonts w:hint="eastAsia" w:ascii="仿宋" w:hAnsi="仿宋" w:eastAsia="仿宋" w:cs="仿宋"/>
          <w:b/>
          <w:bCs/>
          <w:sz w:val="30"/>
          <w:szCs w:val="30"/>
          <w:highlight w:val="none"/>
        </w:rPr>
        <w:t>政府采购合同                        合同编号：</w:t>
      </w:r>
    </w:p>
    <w:p w14:paraId="52A5A8F3">
      <w:pPr>
        <w:pStyle w:val="2"/>
        <w:rPr>
          <w:rFonts w:ascii="仿宋" w:hAnsi="仿宋" w:eastAsia="仿宋" w:cs="仿宋"/>
          <w:b/>
          <w:bCs/>
          <w:color w:val="auto"/>
          <w:sz w:val="30"/>
          <w:szCs w:val="30"/>
          <w:highlight w:val="none"/>
        </w:rPr>
      </w:pPr>
    </w:p>
    <w:p w14:paraId="6138910C">
      <w:pPr>
        <w:pStyle w:val="2"/>
        <w:rPr>
          <w:rFonts w:ascii="仿宋" w:hAnsi="仿宋" w:eastAsia="仿宋" w:cs="仿宋"/>
          <w:b/>
          <w:bCs/>
          <w:color w:val="auto"/>
          <w:sz w:val="30"/>
          <w:szCs w:val="30"/>
          <w:highlight w:val="none"/>
        </w:rPr>
      </w:pPr>
    </w:p>
    <w:p w14:paraId="35A26356">
      <w:pPr>
        <w:pStyle w:val="2"/>
        <w:rPr>
          <w:rFonts w:ascii="仿宋" w:hAnsi="仿宋" w:eastAsia="仿宋" w:cs="仿宋"/>
          <w:color w:val="auto"/>
          <w:highlight w:val="none"/>
        </w:rPr>
      </w:pPr>
    </w:p>
    <w:p w14:paraId="340D434F">
      <w:pPr>
        <w:jc w:val="center"/>
        <w:rPr>
          <w:rFonts w:ascii="仿宋" w:hAnsi="仿宋" w:eastAsia="仿宋" w:cs="仿宋"/>
          <w:b/>
          <w:bCs/>
          <w:sz w:val="44"/>
          <w:szCs w:val="44"/>
          <w:highlight w:val="none"/>
        </w:rPr>
      </w:pPr>
      <w:r>
        <w:rPr>
          <w:rFonts w:hint="eastAsia" w:ascii="仿宋" w:hAnsi="仿宋" w:eastAsia="仿宋" w:cs="仿宋"/>
          <w:b/>
          <w:bCs/>
          <w:sz w:val="44"/>
          <w:szCs w:val="44"/>
          <w:highlight w:val="none"/>
          <w:u w:val="single"/>
        </w:rPr>
        <w:t xml:space="preserve">                           </w:t>
      </w:r>
      <w:r>
        <w:rPr>
          <w:rFonts w:hint="eastAsia" w:ascii="仿宋" w:hAnsi="仿宋" w:eastAsia="仿宋" w:cs="仿宋"/>
          <w:b/>
          <w:bCs/>
          <w:sz w:val="44"/>
          <w:szCs w:val="44"/>
          <w:highlight w:val="none"/>
        </w:rPr>
        <w:t>采购项目</w:t>
      </w:r>
    </w:p>
    <w:p w14:paraId="493327DF">
      <w:pPr>
        <w:rPr>
          <w:rFonts w:ascii="仿宋" w:hAnsi="仿宋" w:eastAsia="仿宋" w:cs="仿宋"/>
          <w:highlight w:val="none"/>
        </w:rPr>
      </w:pPr>
    </w:p>
    <w:p w14:paraId="29BA7CB7">
      <w:pPr>
        <w:rPr>
          <w:rFonts w:ascii="仿宋" w:hAnsi="仿宋" w:eastAsia="仿宋" w:cs="仿宋"/>
          <w:highlight w:val="none"/>
        </w:rPr>
      </w:pPr>
    </w:p>
    <w:p w14:paraId="53305FCF">
      <w:pPr>
        <w:pStyle w:val="2"/>
        <w:rPr>
          <w:rFonts w:ascii="仿宋" w:hAnsi="仿宋" w:eastAsia="仿宋" w:cs="仿宋"/>
          <w:color w:val="auto"/>
          <w:highlight w:val="none"/>
        </w:rPr>
      </w:pPr>
    </w:p>
    <w:p w14:paraId="15E4FC0D">
      <w:pPr>
        <w:pStyle w:val="2"/>
        <w:rPr>
          <w:rFonts w:ascii="仿宋" w:hAnsi="仿宋" w:eastAsia="仿宋" w:cs="仿宋"/>
          <w:color w:val="auto"/>
          <w:highlight w:val="none"/>
        </w:rPr>
      </w:pPr>
    </w:p>
    <w:p w14:paraId="08BDA097">
      <w:pPr>
        <w:rPr>
          <w:rFonts w:ascii="仿宋" w:hAnsi="仿宋" w:eastAsia="仿宋" w:cs="仿宋"/>
          <w:highlight w:val="none"/>
        </w:rPr>
      </w:pPr>
    </w:p>
    <w:p w14:paraId="3033D8B6">
      <w:pPr>
        <w:rPr>
          <w:rFonts w:ascii="仿宋" w:hAnsi="仿宋" w:eastAsia="仿宋" w:cs="仿宋"/>
          <w:highlight w:val="none"/>
        </w:rPr>
      </w:pPr>
    </w:p>
    <w:p w14:paraId="5635C016">
      <w:pPr>
        <w:jc w:val="center"/>
        <w:rPr>
          <w:rFonts w:ascii="仿宋" w:hAnsi="仿宋" w:eastAsia="仿宋" w:cs="仿宋"/>
          <w:b/>
          <w:sz w:val="36"/>
          <w:szCs w:val="36"/>
          <w:highlight w:val="none"/>
        </w:rPr>
      </w:pPr>
      <w:r>
        <w:rPr>
          <w:rFonts w:hint="eastAsia" w:ascii="仿宋" w:hAnsi="仿宋" w:eastAsia="仿宋" w:cs="仿宋"/>
          <w:b/>
          <w:sz w:val="36"/>
          <w:szCs w:val="36"/>
          <w:highlight w:val="none"/>
        </w:rPr>
        <w:t>（示范文本仅供参考）</w:t>
      </w:r>
    </w:p>
    <w:p w14:paraId="2A64B858">
      <w:pPr>
        <w:jc w:val="center"/>
        <w:rPr>
          <w:rFonts w:ascii="仿宋" w:hAnsi="仿宋" w:eastAsia="仿宋" w:cs="仿宋"/>
          <w:b/>
          <w:sz w:val="36"/>
          <w:szCs w:val="36"/>
          <w:highlight w:val="none"/>
        </w:rPr>
      </w:pPr>
    </w:p>
    <w:p w14:paraId="4AEA714C">
      <w:pPr>
        <w:jc w:val="center"/>
        <w:rPr>
          <w:rFonts w:ascii="仿宋" w:hAnsi="仿宋" w:eastAsia="仿宋" w:cs="仿宋"/>
          <w:b/>
          <w:sz w:val="36"/>
          <w:szCs w:val="36"/>
          <w:highlight w:val="none"/>
        </w:rPr>
      </w:pPr>
    </w:p>
    <w:p w14:paraId="5CC449C6">
      <w:pPr>
        <w:jc w:val="center"/>
        <w:rPr>
          <w:rFonts w:ascii="仿宋" w:hAnsi="仿宋" w:eastAsia="仿宋" w:cs="仿宋"/>
          <w:b/>
          <w:sz w:val="36"/>
          <w:szCs w:val="36"/>
          <w:highlight w:val="none"/>
        </w:rPr>
      </w:pPr>
    </w:p>
    <w:p w14:paraId="0EACD6F3">
      <w:pPr>
        <w:jc w:val="center"/>
        <w:rPr>
          <w:rFonts w:ascii="仿宋" w:hAnsi="仿宋" w:eastAsia="仿宋" w:cs="仿宋"/>
          <w:b/>
          <w:sz w:val="36"/>
          <w:szCs w:val="36"/>
          <w:highlight w:val="none"/>
        </w:rPr>
      </w:pPr>
    </w:p>
    <w:p w14:paraId="48E1A55A">
      <w:pPr>
        <w:jc w:val="center"/>
        <w:rPr>
          <w:rFonts w:ascii="仿宋" w:hAnsi="仿宋" w:eastAsia="仿宋" w:cs="仿宋"/>
          <w:b/>
          <w:sz w:val="36"/>
          <w:szCs w:val="36"/>
          <w:highlight w:val="none"/>
        </w:rPr>
      </w:pPr>
    </w:p>
    <w:p w14:paraId="24B6A397">
      <w:pPr>
        <w:rPr>
          <w:rFonts w:ascii="仿宋" w:hAnsi="仿宋" w:eastAsia="仿宋" w:cs="仿宋"/>
          <w:b/>
          <w:sz w:val="36"/>
          <w:szCs w:val="36"/>
          <w:highlight w:val="none"/>
        </w:rPr>
      </w:pPr>
    </w:p>
    <w:p w14:paraId="6BDD46E3">
      <w:pPr>
        <w:spacing w:before="158" w:beforeLines="50" w:line="360" w:lineRule="auto"/>
        <w:rPr>
          <w:rFonts w:ascii="仿宋" w:hAnsi="仿宋" w:eastAsia="仿宋" w:cs="仿宋"/>
          <w:bCs/>
          <w:sz w:val="48"/>
          <w:szCs w:val="48"/>
          <w:highlight w:val="none"/>
        </w:rPr>
      </w:pPr>
    </w:p>
    <w:p w14:paraId="2298DD3F">
      <w:pPr>
        <w:spacing w:before="158" w:beforeLines="50" w:line="360" w:lineRule="auto"/>
        <w:ind w:firstLine="1584" w:firstLineChars="493"/>
        <w:jc w:val="left"/>
        <w:rPr>
          <w:rFonts w:ascii="仿宋" w:hAnsi="仿宋" w:eastAsia="仿宋" w:cs="仿宋"/>
          <w:sz w:val="32"/>
          <w:szCs w:val="32"/>
          <w:highlight w:val="none"/>
          <w:u w:val="single"/>
        </w:rPr>
      </w:pPr>
      <w:r>
        <w:rPr>
          <w:rFonts w:hint="eastAsia" w:ascii="仿宋" w:hAnsi="仿宋" w:eastAsia="仿宋" w:cs="仿宋"/>
          <w:b/>
          <w:bCs/>
          <w:sz w:val="32"/>
          <w:szCs w:val="32"/>
          <w:highlight w:val="none"/>
        </w:rPr>
        <w:t>采购人：</w:t>
      </w:r>
      <w:r>
        <w:rPr>
          <w:rFonts w:hint="eastAsia" w:ascii="仿宋" w:hAnsi="仿宋" w:eastAsia="仿宋" w:cs="仿宋"/>
          <w:sz w:val="32"/>
          <w:szCs w:val="32"/>
          <w:highlight w:val="none"/>
          <w:u w:val="single"/>
        </w:rPr>
        <w:t xml:space="preserve">                     </w:t>
      </w:r>
    </w:p>
    <w:p w14:paraId="59C0089A">
      <w:pPr>
        <w:spacing w:before="158" w:beforeLines="50" w:line="360" w:lineRule="auto"/>
        <w:ind w:firstLine="1584" w:firstLineChars="493"/>
        <w:jc w:val="left"/>
        <w:rPr>
          <w:rFonts w:ascii="仿宋" w:hAnsi="仿宋" w:eastAsia="仿宋" w:cs="仿宋"/>
          <w:b/>
          <w:bCs/>
          <w:sz w:val="32"/>
          <w:szCs w:val="32"/>
          <w:highlight w:val="none"/>
        </w:rPr>
      </w:pPr>
      <w:r>
        <w:rPr>
          <w:rFonts w:hint="eastAsia" w:ascii="仿宋" w:hAnsi="仿宋" w:eastAsia="仿宋" w:cs="仿宋"/>
          <w:b/>
          <w:bCs/>
          <w:sz w:val="32"/>
          <w:szCs w:val="32"/>
          <w:highlight w:val="none"/>
        </w:rPr>
        <w:t>供应商：</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 xml:space="preserve">  </w:t>
      </w:r>
      <w:r>
        <w:rPr>
          <w:rFonts w:hint="eastAsia" w:ascii="仿宋" w:hAnsi="仿宋" w:eastAsia="仿宋" w:cs="仿宋"/>
          <w:b/>
          <w:bCs/>
          <w:sz w:val="32"/>
          <w:szCs w:val="32"/>
          <w:highlight w:val="none"/>
        </w:rPr>
        <w:t xml:space="preserve">        </w:t>
      </w:r>
    </w:p>
    <w:p w14:paraId="52E61BF1">
      <w:pPr>
        <w:pStyle w:val="2"/>
        <w:jc w:val="center"/>
        <w:rPr>
          <w:color w:val="auto"/>
          <w:highlight w:val="none"/>
        </w:rPr>
      </w:pPr>
      <w:r>
        <w:rPr>
          <w:rFonts w:hint="eastAsia" w:ascii="仿宋" w:hAnsi="仿宋" w:eastAsia="仿宋" w:cs="仿宋"/>
          <w:b/>
          <w:bCs/>
          <w:color w:val="auto"/>
          <w:sz w:val="32"/>
          <w:szCs w:val="32"/>
          <w:highlight w:val="none"/>
        </w:rPr>
        <w:t>二〇二</w:t>
      </w:r>
      <w:r>
        <w:rPr>
          <w:rFonts w:hint="eastAsia" w:ascii="仿宋" w:hAnsi="仿宋" w:eastAsia="仿宋" w:cs="仿宋"/>
          <w:b/>
          <w:bCs/>
          <w:color w:val="auto"/>
          <w:sz w:val="32"/>
          <w:szCs w:val="32"/>
          <w:highlight w:val="none"/>
          <w:lang w:val="en-US" w:eastAsia="zh-CN"/>
        </w:rPr>
        <w:t>五</w:t>
      </w:r>
      <w:r>
        <w:rPr>
          <w:rFonts w:hint="eastAsia" w:ascii="仿宋" w:hAnsi="仿宋" w:eastAsia="仿宋" w:cs="仿宋"/>
          <w:b/>
          <w:bCs/>
          <w:color w:val="auto"/>
          <w:sz w:val="32"/>
          <w:szCs w:val="32"/>
          <w:highlight w:val="none"/>
        </w:rPr>
        <w:t>年</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月</w:t>
      </w:r>
      <w:r>
        <w:rPr>
          <w:rFonts w:hint="eastAsia" w:ascii="仿宋" w:hAnsi="仿宋" w:eastAsia="仿宋" w:cs="仿宋"/>
          <w:b/>
          <w:bCs/>
          <w:color w:val="auto"/>
          <w:sz w:val="36"/>
          <w:szCs w:val="36"/>
          <w:highlight w:val="none"/>
        </w:rPr>
        <w:br w:type="page"/>
      </w:r>
    </w:p>
    <w:bookmarkEnd w:id="0"/>
    <w:bookmarkEnd w:id="1"/>
    <w:p w14:paraId="6E36B94E">
      <w:pPr>
        <w:tabs>
          <w:tab w:val="left" w:pos="735"/>
        </w:tabs>
        <w:autoSpaceDE w:val="0"/>
        <w:autoSpaceDN w:val="0"/>
        <w:adjustRightInd w:val="0"/>
        <w:snapToGrid w:val="0"/>
        <w:spacing w:before="240" w:beforeLines="100" w:line="360" w:lineRule="auto"/>
        <w:ind w:firstLine="482" w:firstLineChars="200"/>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03D8E8C1">
      <w:pPr>
        <w:tabs>
          <w:tab w:val="left" w:pos="735"/>
        </w:tabs>
        <w:autoSpaceDE w:val="0"/>
        <w:autoSpaceDN w:val="0"/>
        <w:adjustRightInd w:val="0"/>
        <w:snapToGrid w:val="0"/>
        <w:spacing w:line="360" w:lineRule="auto"/>
        <w:ind w:firstLine="482" w:firstLineChars="200"/>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782675F5">
      <w:pPr>
        <w:adjustRightInd w:val="0"/>
        <w:snapToGrid w:val="0"/>
        <w:spacing w:line="360" w:lineRule="auto"/>
        <w:ind w:firstLine="482" w:firstLineChars="200"/>
        <w:rPr>
          <w:rFonts w:ascii="仿宋" w:hAnsi="仿宋" w:eastAsia="仿宋" w:cs="仿宋"/>
          <w:sz w:val="24"/>
        </w:rPr>
      </w:pPr>
      <w:bookmarkStart w:id="2" w:name="_Toc19515384"/>
      <w:r>
        <w:rPr>
          <w:rFonts w:hint="eastAsia" w:ascii="仿宋" w:hAnsi="仿宋" w:eastAsia="仿宋" w:cs="仿宋"/>
          <w:b/>
          <w:bCs/>
          <w:sz w:val="24"/>
        </w:rPr>
        <w:t>一、合同内容</w:t>
      </w:r>
      <w:r>
        <w:rPr>
          <w:rFonts w:hint="eastAsia" w:ascii="仿宋" w:hAnsi="仿宋" w:eastAsia="仿宋" w:cs="仿宋"/>
          <w:sz w:val="24"/>
        </w:rPr>
        <w:t>（标的、数量、质量等）</w:t>
      </w:r>
      <w:bookmarkEnd w:id="2"/>
      <w:r>
        <w:rPr>
          <w:rFonts w:hint="eastAsia" w:ascii="仿宋" w:hAnsi="仿宋" w:eastAsia="仿宋" w:cs="仿宋"/>
          <w:sz w:val="24"/>
        </w:rPr>
        <w:t>：</w:t>
      </w:r>
    </w:p>
    <w:p w14:paraId="57D11A26">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本政府采购合同所附下列文件是构成本政府采购合同不可分割的部分：</w:t>
      </w:r>
    </w:p>
    <w:p w14:paraId="231406E3">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1.磋商文件（</w:t>
      </w:r>
      <w:r>
        <w:rPr>
          <w:rFonts w:hint="eastAsia" w:ascii="仿宋" w:hAnsi="仿宋" w:eastAsia="仿宋" w:cs="仿宋"/>
          <w:bCs/>
          <w:sz w:val="24"/>
          <w:lang w:val="en-US" w:eastAsia="zh-CN"/>
        </w:rPr>
        <w:t>磋商</w:t>
      </w:r>
      <w:r>
        <w:rPr>
          <w:rFonts w:hint="eastAsia" w:ascii="仿宋" w:hAnsi="仿宋" w:eastAsia="仿宋" w:cs="仿宋"/>
          <w:bCs/>
          <w:sz w:val="24"/>
        </w:rPr>
        <w:t>文件编号</w:t>
      </w:r>
      <w:r>
        <w:rPr>
          <w:rFonts w:hint="eastAsia" w:ascii="仿宋" w:hAnsi="仿宋" w:eastAsia="仿宋" w:cs="仿宋"/>
          <w:bCs/>
          <w:sz w:val="24"/>
          <w:u w:val="single"/>
        </w:rPr>
        <w:t xml:space="preserve">        </w:t>
      </w:r>
      <w:r>
        <w:rPr>
          <w:rFonts w:hint="eastAsia" w:ascii="仿宋" w:hAnsi="仿宋" w:eastAsia="仿宋" w:cs="仿宋"/>
          <w:bCs/>
          <w:sz w:val="24"/>
          <w:u w:val="single"/>
          <w:lang w:val="en-US" w:eastAsia="zh-CN"/>
        </w:rPr>
        <w:t xml:space="preserve">            </w:t>
      </w:r>
      <w:r>
        <w:rPr>
          <w:rFonts w:hint="eastAsia" w:ascii="仿宋" w:hAnsi="仿宋" w:eastAsia="仿宋" w:cs="仿宋"/>
          <w:bCs/>
          <w:sz w:val="24"/>
          <w:u w:val="single"/>
        </w:rPr>
        <w:t xml:space="preserve">   </w:t>
      </w:r>
      <w:r>
        <w:rPr>
          <w:rFonts w:hint="eastAsia" w:ascii="仿宋" w:hAnsi="仿宋" w:eastAsia="仿宋" w:cs="仿宋"/>
          <w:bCs/>
          <w:sz w:val="24"/>
        </w:rPr>
        <w:t>）；</w:t>
      </w:r>
    </w:p>
    <w:p w14:paraId="652264D5">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2.磋商文件的更正公告、变更公告；</w:t>
      </w:r>
    </w:p>
    <w:p w14:paraId="4FF63988">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3.成交供应商提交的磋商响应文件；</w:t>
      </w:r>
    </w:p>
    <w:p w14:paraId="2D8398AB">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4.政府采购合同条款；</w:t>
      </w:r>
    </w:p>
    <w:p w14:paraId="3006E1F8">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5.成交通知书；</w:t>
      </w:r>
    </w:p>
    <w:p w14:paraId="4B33A63A">
      <w:pPr>
        <w:tabs>
          <w:tab w:val="left" w:pos="735"/>
        </w:tabs>
        <w:autoSpaceDE w:val="0"/>
        <w:autoSpaceDN w:val="0"/>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6.政府采购合同的其它附件。</w:t>
      </w:r>
    </w:p>
    <w:p w14:paraId="40FBC72D">
      <w:pPr>
        <w:adjustRightInd w:val="0"/>
        <w:snapToGrid w:val="0"/>
        <w:spacing w:line="360" w:lineRule="auto"/>
        <w:ind w:firstLine="482" w:firstLineChars="200"/>
        <w:rPr>
          <w:rFonts w:ascii="仿宋" w:hAnsi="仿宋" w:eastAsia="仿宋" w:cs="仿宋"/>
          <w:b/>
          <w:bCs/>
          <w:sz w:val="24"/>
        </w:rPr>
      </w:pPr>
      <w:bookmarkStart w:id="3" w:name="_Toc19515385"/>
      <w:r>
        <w:rPr>
          <w:rFonts w:hint="eastAsia" w:ascii="仿宋" w:hAnsi="仿宋" w:eastAsia="仿宋" w:cs="仿宋"/>
          <w:b/>
          <w:bCs/>
          <w:sz w:val="24"/>
        </w:rPr>
        <w:t>二、合同价款</w:t>
      </w:r>
      <w:bookmarkEnd w:id="3"/>
    </w:p>
    <w:p w14:paraId="7F12C82E">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1、合同总价：</w:t>
      </w:r>
      <w:r>
        <w:rPr>
          <w:rFonts w:hint="eastAsia" w:ascii="仿宋" w:hAnsi="仿宋" w:eastAsia="仿宋" w:cs="仿宋"/>
          <w:sz w:val="24"/>
          <w:lang w:val="en-US" w:eastAsia="zh-CN"/>
        </w:rPr>
        <w:t>人民币</w:t>
      </w: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w:t>
      </w:r>
      <w:r>
        <w:rPr>
          <w:rFonts w:hint="eastAsia" w:ascii="仿宋" w:hAnsi="仿宋" w:eastAsia="仿宋" w:cs="仿宋"/>
          <w:sz w:val="24"/>
          <w:lang w:val="en-US" w:eastAsia="zh-CN"/>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元整）</w:t>
      </w:r>
    </w:p>
    <w:p w14:paraId="055EA21C">
      <w:pPr>
        <w:pStyle w:val="4"/>
        <w:tabs>
          <w:tab w:val="left" w:pos="2100"/>
        </w:tabs>
        <w:adjustRightInd w:val="0"/>
        <w:snapToGrid w:val="0"/>
        <w:spacing w:line="360" w:lineRule="auto"/>
        <w:ind w:firstLine="480" w:firstLineChars="200"/>
        <w:rPr>
          <w:rFonts w:hint="eastAsia" w:ascii="仿宋" w:hAnsi="仿宋" w:eastAsia="仿宋" w:cs="仿宋"/>
          <w:b/>
          <w:bCs/>
          <w:sz w:val="24"/>
          <w:szCs w:val="24"/>
          <w:highlight w:val="yellow"/>
          <w:lang w:val="en-US" w:eastAsia="zh-CN"/>
        </w:rPr>
      </w:pPr>
      <w:r>
        <w:rPr>
          <w:rFonts w:hint="eastAsia" w:ascii="仿宋" w:hAnsi="仿宋" w:eastAsia="仿宋" w:cs="仿宋"/>
          <w:sz w:val="24"/>
        </w:rPr>
        <w:t>2、合同总价包括：提供磋商文件要求服务的所有费用，包括但不限于提供项目实施费、培训费、人工费、材料费、管理费、</w:t>
      </w:r>
      <w:r>
        <w:rPr>
          <w:rFonts w:hint="eastAsia" w:ascii="仿宋" w:hAnsi="仿宋" w:eastAsia="仿宋" w:cs="仿宋"/>
          <w:sz w:val="24"/>
          <w:lang w:val="en-US" w:eastAsia="zh-CN"/>
        </w:rPr>
        <w:t>资料费、</w:t>
      </w:r>
      <w:r>
        <w:rPr>
          <w:rFonts w:hint="eastAsia" w:ascii="仿宋" w:hAnsi="仿宋" w:eastAsia="仿宋" w:cs="仿宋"/>
          <w:sz w:val="24"/>
        </w:rPr>
        <w:t>供应商应缴纳的所有税费、规费、保险费（如果有）等全部费用。</w:t>
      </w:r>
    </w:p>
    <w:p w14:paraId="52A845A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3、合同为固定总价合同，不受市场价变化的影响。</w:t>
      </w:r>
    </w:p>
    <w:p w14:paraId="52862239">
      <w:pPr>
        <w:adjustRightInd w:val="0"/>
        <w:snapToGrid w:val="0"/>
        <w:spacing w:line="360" w:lineRule="auto"/>
        <w:ind w:firstLine="482" w:firstLineChars="200"/>
        <w:rPr>
          <w:rFonts w:ascii="仿宋" w:hAnsi="仿宋" w:eastAsia="仿宋" w:cs="仿宋"/>
          <w:b/>
          <w:bCs/>
          <w:sz w:val="24"/>
        </w:rPr>
      </w:pPr>
      <w:bookmarkStart w:id="4" w:name="_Toc19515386"/>
      <w:r>
        <w:rPr>
          <w:rFonts w:hint="eastAsia" w:ascii="仿宋" w:hAnsi="仿宋" w:eastAsia="仿宋" w:cs="仿宋"/>
          <w:b/>
          <w:bCs/>
          <w:sz w:val="24"/>
        </w:rPr>
        <w:t>三、合同结算</w:t>
      </w:r>
      <w:bookmarkEnd w:id="4"/>
    </w:p>
    <w:p w14:paraId="37861876">
      <w:pPr>
        <w:spacing w:line="360" w:lineRule="auto"/>
        <w:ind w:firstLine="420" w:firstLineChars="200"/>
        <w:rPr>
          <w:rFonts w:ascii="仿宋" w:hAnsi="仿宋" w:eastAsia="仿宋" w:cs="仿宋"/>
          <w:highlight w:val="none"/>
        </w:rPr>
      </w:pPr>
      <w:bookmarkStart w:id="5" w:name="_Toc19515387"/>
      <w:r>
        <w:rPr>
          <w:rFonts w:hint="eastAsia" w:ascii="仿宋" w:hAnsi="仿宋" w:eastAsia="仿宋" w:cs="仿宋"/>
          <w:highlight w:val="none"/>
        </w:rPr>
        <w:t>1.合同总价即成交价，磋商供应商应在报价表中标明完成本次磋商所要求责任范围和合同条件进行报价。磋商报价是指完成本项目的所有费用。</w:t>
      </w:r>
    </w:p>
    <w:p w14:paraId="2DBC7550">
      <w:pPr>
        <w:spacing w:line="360" w:lineRule="auto"/>
        <w:ind w:firstLine="420" w:firstLineChars="200"/>
        <w:rPr>
          <w:rFonts w:ascii="仿宋" w:hAnsi="仿宋" w:eastAsia="仿宋" w:cs="仿宋"/>
          <w:highlight w:val="none"/>
        </w:rPr>
      </w:pPr>
      <w:r>
        <w:rPr>
          <w:rFonts w:hint="eastAsia" w:ascii="仿宋" w:hAnsi="仿宋" w:eastAsia="仿宋" w:cs="仿宋"/>
          <w:highlight w:val="none"/>
        </w:rPr>
        <w:t>2.合同总价一次包死，不受市场价变化或实际工作量变化的影响。</w:t>
      </w:r>
    </w:p>
    <w:p w14:paraId="178460DD">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3.付款方式和程序：</w:t>
      </w:r>
    </w:p>
    <w:p w14:paraId="024376DC">
      <w:pPr>
        <w:spacing w:line="360" w:lineRule="auto"/>
        <w:ind w:firstLine="420" w:firstLineChars="200"/>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1</w:t>
      </w:r>
      <w:r>
        <w:rPr>
          <w:rFonts w:hint="eastAsia" w:ascii="仿宋_GB2312" w:hAnsi="仿宋_GB2312" w:eastAsia="仿宋_GB2312" w:cs="仿宋_GB2312"/>
          <w:lang w:eastAsia="zh-CN"/>
        </w:rPr>
        <w:t>）</w:t>
      </w:r>
      <w:r>
        <w:rPr>
          <w:rFonts w:ascii="仿宋_GB2312" w:hAnsi="仿宋_GB2312" w:eastAsia="仿宋_GB2312" w:cs="仿宋_GB2312"/>
        </w:rPr>
        <w:t>合同签订后，达到付款条件起7日内，支付合同总金额的60.00%。</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w:t>
      </w:r>
      <w:r>
        <w:rPr>
          <w:rFonts w:ascii="仿宋_GB2312" w:hAnsi="仿宋_GB2312" w:eastAsia="仿宋_GB2312" w:cs="仿宋_GB2312"/>
        </w:rPr>
        <w:t>项目验收合格后，达到付款条件起7日内，支付合同总金额的40.00%。</w:t>
      </w:r>
    </w:p>
    <w:p w14:paraId="57D7EF86">
      <w:pPr>
        <w:keepNext w:val="0"/>
        <w:keepLines w:val="0"/>
        <w:pageBreakBefore w:val="0"/>
        <w:widowControl w:val="0"/>
        <w:kinsoku/>
        <w:wordWrap/>
        <w:overflowPunct/>
        <w:topLinePunct/>
        <w:autoSpaceDE/>
        <w:autoSpaceDN/>
        <w:bidi w:val="0"/>
        <w:adjustRightInd/>
        <w:snapToGrid/>
        <w:spacing w:line="360" w:lineRule="auto"/>
        <w:ind w:firstLine="482" w:firstLineChars="200"/>
        <w:textAlignment w:val="auto"/>
        <w:rPr>
          <w:rFonts w:ascii="仿宋" w:hAnsi="仿宋" w:eastAsia="仿宋" w:cs="仿宋"/>
          <w:b/>
          <w:bCs/>
          <w:sz w:val="24"/>
          <w:highlight w:val="none"/>
        </w:rPr>
      </w:pPr>
      <w:r>
        <w:rPr>
          <w:rFonts w:hint="eastAsia" w:ascii="仿宋" w:hAnsi="仿宋" w:eastAsia="仿宋" w:cs="仿宋"/>
          <w:b/>
          <w:bCs/>
          <w:sz w:val="24"/>
          <w:highlight w:val="none"/>
        </w:rPr>
        <w:t>四、服务期、地点</w:t>
      </w:r>
      <w:bookmarkEnd w:id="5"/>
      <w:r>
        <w:rPr>
          <w:rFonts w:hint="eastAsia" w:ascii="仿宋" w:hAnsi="仿宋" w:eastAsia="仿宋" w:cs="仿宋"/>
          <w:b/>
          <w:bCs/>
          <w:sz w:val="24"/>
          <w:highlight w:val="none"/>
        </w:rPr>
        <w:t>：</w:t>
      </w:r>
    </w:p>
    <w:p w14:paraId="4F05E303">
      <w:pPr>
        <w:adjustRightInd w:val="0"/>
        <w:snapToGrid w:val="0"/>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1、服务期：签订合同之日起至项目实施完毕。</w:t>
      </w:r>
      <w:bookmarkStart w:id="12" w:name="_GoBack"/>
      <w:bookmarkEnd w:id="12"/>
    </w:p>
    <w:p w14:paraId="115CD18A">
      <w:pPr>
        <w:adjustRightInd w:val="0"/>
        <w:snapToGrid w:val="0"/>
        <w:spacing w:line="360" w:lineRule="auto"/>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地点：</w:t>
      </w:r>
      <w:r>
        <w:rPr>
          <w:rFonts w:hint="eastAsia" w:ascii="仿宋" w:hAnsi="仿宋" w:eastAsia="仿宋" w:cs="仿宋"/>
          <w:kern w:val="2"/>
          <w:sz w:val="24"/>
          <w:szCs w:val="24"/>
          <w:highlight w:val="none"/>
          <w:lang w:val="en-US" w:eastAsia="zh-CN" w:bidi="ar-SA"/>
        </w:rPr>
        <w:t>采购人指定地点</w:t>
      </w:r>
    </w:p>
    <w:p w14:paraId="229238D4">
      <w:pPr>
        <w:adjustRightInd w:val="0"/>
        <w:snapToGrid w:val="0"/>
        <w:spacing w:line="360" w:lineRule="auto"/>
        <w:ind w:firstLine="482" w:firstLineChars="200"/>
        <w:rPr>
          <w:rFonts w:hint="eastAsia" w:ascii="仿宋" w:hAnsi="仿宋" w:eastAsia="仿宋" w:cs="仿宋"/>
          <w:b/>
          <w:bCs/>
          <w:sz w:val="24"/>
          <w:lang w:val="en-US" w:eastAsia="zh-CN"/>
        </w:rPr>
      </w:pPr>
      <w:bookmarkStart w:id="6" w:name="_Toc19515390"/>
      <w:r>
        <w:rPr>
          <w:rFonts w:hint="eastAsia" w:ascii="仿宋" w:hAnsi="仿宋" w:eastAsia="仿宋" w:cs="仿宋"/>
          <w:b/>
          <w:bCs/>
          <w:sz w:val="24"/>
        </w:rPr>
        <w:t>五、服务</w:t>
      </w:r>
      <w:bookmarkEnd w:id="6"/>
      <w:r>
        <w:rPr>
          <w:rFonts w:hint="eastAsia" w:ascii="仿宋" w:hAnsi="仿宋" w:eastAsia="仿宋" w:cs="仿宋"/>
          <w:b/>
          <w:bCs/>
          <w:sz w:val="24"/>
          <w:lang w:val="en-US" w:eastAsia="zh-CN"/>
        </w:rPr>
        <w:t>内容</w:t>
      </w:r>
    </w:p>
    <w:p w14:paraId="49E98615">
      <w:pPr>
        <w:adjustRightInd w:val="0"/>
        <w:snapToGrid w:val="0"/>
        <w:spacing w:line="360" w:lineRule="auto"/>
        <w:ind w:firstLine="480" w:firstLineChars="200"/>
        <w:rPr>
          <w:rFonts w:hint="eastAsia" w:ascii="仿宋" w:hAnsi="仿宋" w:eastAsia="仿宋" w:cs="仿宋"/>
          <w:sz w:val="24"/>
          <w:highlight w:val="none"/>
          <w:lang w:val="en-US" w:eastAsia="zh-CN"/>
        </w:rPr>
      </w:pPr>
      <w:bookmarkStart w:id="7" w:name="_Toc19515391"/>
      <w:r>
        <w:rPr>
          <w:rFonts w:hint="eastAsia" w:ascii="仿宋" w:hAnsi="仿宋" w:eastAsia="仿宋" w:cs="仿宋"/>
          <w:sz w:val="24"/>
          <w:highlight w:val="none"/>
          <w:lang w:val="en-US" w:eastAsia="zh-CN"/>
        </w:rPr>
        <w:t>详见磋商文件第五章采购内容及要求。</w:t>
      </w:r>
    </w:p>
    <w:p w14:paraId="35F662AE">
      <w:pPr>
        <w:adjustRightInd w:val="0"/>
        <w:snapToGrid w:val="0"/>
        <w:spacing w:line="360" w:lineRule="auto"/>
        <w:ind w:firstLine="482" w:firstLineChars="200"/>
        <w:rPr>
          <w:rFonts w:hint="eastAsia" w:ascii="仿宋" w:hAnsi="仿宋" w:eastAsia="仿宋" w:cs="仿宋"/>
          <w:b/>
          <w:bCs/>
          <w:sz w:val="24"/>
          <w:lang w:val="en-US" w:eastAsia="zh-CN"/>
        </w:rPr>
      </w:pPr>
      <w:r>
        <w:rPr>
          <w:rFonts w:hint="eastAsia" w:ascii="仿宋" w:hAnsi="仿宋" w:eastAsia="仿宋" w:cs="仿宋"/>
          <w:b/>
          <w:bCs/>
          <w:sz w:val="24"/>
          <w:lang w:val="en-US" w:eastAsia="zh-CN"/>
        </w:rPr>
        <w:t>六、双方权利与义务</w:t>
      </w:r>
    </w:p>
    <w:p w14:paraId="0381BBEB">
      <w:pPr>
        <w:numPr>
          <w:ilvl w:val="0"/>
          <w:numId w:val="1"/>
        </w:numPr>
        <w:adjustRightInd w:val="0"/>
        <w:snapToGrid w:val="0"/>
        <w:spacing w:line="360" w:lineRule="auto"/>
        <w:ind w:firstLine="480" w:firstLineChars="200"/>
        <w:rPr>
          <w:highlight w:val="none"/>
        </w:rPr>
      </w:pPr>
      <w:r>
        <w:rPr>
          <w:rFonts w:hint="eastAsia" w:ascii="仿宋" w:hAnsi="仿宋" w:eastAsia="仿宋" w:cs="仿宋"/>
          <w:sz w:val="24"/>
          <w:highlight w:val="none"/>
          <w:lang w:val="en-US" w:eastAsia="zh-CN"/>
        </w:rPr>
        <w:t>甲方权利与义务</w:t>
      </w:r>
      <w:r>
        <w:rPr>
          <w:rFonts w:hint="eastAsia" w:ascii="仿宋" w:hAnsi="仿宋" w:eastAsia="仿宋" w:cs="仿宋"/>
          <w:sz w:val="24"/>
          <w:highlight w:val="none"/>
        </w:rPr>
        <w:t>。</w:t>
      </w:r>
    </w:p>
    <w:p w14:paraId="0E46C8BD">
      <w:pPr>
        <w:pStyle w:val="2"/>
        <w:numPr>
          <w:ilvl w:val="0"/>
          <w:numId w:val="2"/>
        </w:numPr>
        <w:ind w:left="417" w:leftChars="104" w:hanging="199" w:hangingChars="83"/>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甲方提供乙方开始实施项目中所需的必要资料等；</w:t>
      </w:r>
    </w:p>
    <w:p w14:paraId="11250D7B">
      <w:pPr>
        <w:pStyle w:val="5"/>
        <w:numPr>
          <w:ilvl w:val="0"/>
          <w:numId w:val="2"/>
        </w:numPr>
        <w:ind w:left="417" w:leftChars="104" w:hanging="199" w:hangingChars="83"/>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甲方按照合同要求核销、结算支付合同价款；</w:t>
      </w:r>
    </w:p>
    <w:p w14:paraId="3D30F0A3">
      <w:pPr>
        <w:pStyle w:val="5"/>
        <w:numPr>
          <w:ilvl w:val="0"/>
          <w:numId w:val="2"/>
        </w:numPr>
        <w:ind w:left="417" w:leftChars="104" w:hanging="199" w:hangingChars="83"/>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其他：</w:t>
      </w:r>
      <w:r>
        <w:rPr>
          <w:rFonts w:hint="eastAsia" w:ascii="仿宋" w:hAnsi="仿宋" w:eastAsia="仿宋" w:cs="仿宋"/>
          <w:color w:val="auto"/>
          <w:kern w:val="2"/>
          <w:sz w:val="24"/>
          <w:szCs w:val="24"/>
          <w:highlight w:val="none"/>
          <w:u w:val="single"/>
          <w:lang w:val="en-US" w:eastAsia="zh-CN" w:bidi="ar-SA"/>
        </w:rPr>
        <w:t xml:space="preserve">  双方约定  </w:t>
      </w:r>
      <w:r>
        <w:rPr>
          <w:rFonts w:hint="eastAsia" w:ascii="仿宋" w:hAnsi="仿宋" w:eastAsia="仿宋" w:cs="仿宋"/>
          <w:color w:val="auto"/>
          <w:kern w:val="2"/>
          <w:sz w:val="24"/>
          <w:szCs w:val="24"/>
          <w:highlight w:val="none"/>
          <w:lang w:val="en-US" w:eastAsia="zh-CN" w:bidi="ar-SA"/>
        </w:rPr>
        <w:t>。</w:t>
      </w:r>
    </w:p>
    <w:p w14:paraId="7F5E92DC">
      <w:pPr>
        <w:numPr>
          <w:ilvl w:val="0"/>
          <w:numId w:val="1"/>
        </w:numPr>
        <w:adjustRightInd w:val="0"/>
        <w:snapToGrid w:val="0"/>
        <w:spacing w:line="360" w:lineRule="auto"/>
        <w:ind w:firstLine="480" w:firstLineChars="200"/>
        <w:rPr>
          <w:color w:val="auto"/>
          <w:highlight w:val="none"/>
        </w:rPr>
      </w:pPr>
      <w:r>
        <w:rPr>
          <w:rFonts w:hint="eastAsia" w:ascii="仿宋" w:hAnsi="仿宋" w:eastAsia="仿宋" w:cs="仿宋"/>
          <w:color w:val="auto"/>
          <w:sz w:val="24"/>
          <w:highlight w:val="none"/>
          <w:lang w:val="en-US" w:eastAsia="zh-CN"/>
        </w:rPr>
        <w:t>乙方权利与义务</w:t>
      </w:r>
      <w:r>
        <w:rPr>
          <w:rFonts w:hint="eastAsia" w:ascii="仿宋" w:hAnsi="仿宋" w:eastAsia="仿宋" w:cs="仿宋"/>
          <w:color w:val="auto"/>
          <w:sz w:val="24"/>
          <w:highlight w:val="none"/>
        </w:rPr>
        <w:t>。</w:t>
      </w:r>
    </w:p>
    <w:p w14:paraId="61724154">
      <w:pPr>
        <w:pStyle w:val="2"/>
        <w:numPr>
          <w:ilvl w:val="0"/>
          <w:numId w:val="3"/>
        </w:numPr>
        <w:ind w:left="417" w:leftChars="104" w:hanging="199" w:hangingChars="83"/>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乙方应按照服务要求完成本次合同约定的全部服务要求；</w:t>
      </w:r>
    </w:p>
    <w:p w14:paraId="5C76C95F">
      <w:pPr>
        <w:pStyle w:val="5"/>
        <w:numPr>
          <w:ilvl w:val="0"/>
          <w:numId w:val="3"/>
        </w:numPr>
        <w:ind w:left="417" w:leftChars="104" w:hanging="199" w:hangingChars="83"/>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乙方按照合同要求提供核销、结算发票及甲方要求的相关资料等；</w:t>
      </w:r>
    </w:p>
    <w:p w14:paraId="2085A073">
      <w:pPr>
        <w:pStyle w:val="5"/>
        <w:numPr>
          <w:ilvl w:val="0"/>
          <w:numId w:val="3"/>
        </w:numPr>
        <w:ind w:left="417" w:leftChars="104" w:hanging="199" w:hangingChars="83"/>
        <w:rPr>
          <w:rFonts w:hint="default"/>
          <w:color w:val="auto"/>
          <w:highlight w:val="none"/>
          <w:lang w:val="en-US" w:eastAsia="zh-CN"/>
        </w:rPr>
      </w:pPr>
      <w:r>
        <w:rPr>
          <w:rFonts w:hint="eastAsia" w:ascii="仿宋" w:hAnsi="仿宋" w:eastAsia="仿宋" w:cs="仿宋"/>
          <w:color w:val="auto"/>
          <w:kern w:val="2"/>
          <w:sz w:val="24"/>
          <w:szCs w:val="24"/>
          <w:highlight w:val="none"/>
          <w:lang w:val="en-US" w:eastAsia="zh-CN" w:bidi="ar-SA"/>
        </w:rPr>
        <w:t>其他：</w:t>
      </w:r>
      <w:r>
        <w:rPr>
          <w:rFonts w:hint="eastAsia" w:ascii="仿宋" w:hAnsi="仿宋" w:eastAsia="仿宋" w:cs="仿宋"/>
          <w:color w:val="auto"/>
          <w:kern w:val="2"/>
          <w:sz w:val="24"/>
          <w:szCs w:val="24"/>
          <w:highlight w:val="none"/>
          <w:u w:val="single"/>
          <w:lang w:val="en-US" w:eastAsia="zh-CN" w:bidi="ar-SA"/>
        </w:rPr>
        <w:t xml:space="preserve">  双方约定  </w:t>
      </w:r>
      <w:r>
        <w:rPr>
          <w:rFonts w:hint="eastAsia" w:ascii="仿宋" w:hAnsi="仿宋" w:eastAsia="仿宋" w:cs="仿宋"/>
          <w:color w:val="auto"/>
          <w:kern w:val="2"/>
          <w:sz w:val="24"/>
          <w:szCs w:val="24"/>
          <w:highlight w:val="none"/>
          <w:lang w:val="en-US" w:eastAsia="zh-CN" w:bidi="ar-SA"/>
        </w:rPr>
        <w:t>。</w:t>
      </w:r>
    </w:p>
    <w:p w14:paraId="4BCE172D">
      <w:pPr>
        <w:adjustRightInd w:val="0"/>
        <w:snapToGrid w:val="0"/>
        <w:spacing w:line="360" w:lineRule="auto"/>
        <w:ind w:firstLine="482" w:firstLineChars="200"/>
        <w:rPr>
          <w:rFonts w:ascii="仿宋" w:hAnsi="仿宋" w:eastAsia="仿宋" w:cs="仿宋"/>
          <w:b/>
          <w:bCs/>
          <w:sz w:val="24"/>
        </w:rPr>
      </w:pPr>
      <w:r>
        <w:rPr>
          <w:rFonts w:hint="eastAsia" w:ascii="仿宋" w:hAnsi="仿宋" w:eastAsia="仿宋" w:cs="仿宋"/>
          <w:b/>
          <w:bCs/>
          <w:sz w:val="24"/>
          <w:lang w:val="en-US" w:eastAsia="zh-CN"/>
        </w:rPr>
        <w:t>七</w:t>
      </w:r>
      <w:r>
        <w:rPr>
          <w:rFonts w:hint="eastAsia" w:ascii="仿宋" w:hAnsi="仿宋" w:eastAsia="仿宋" w:cs="仿宋"/>
          <w:b/>
          <w:bCs/>
          <w:sz w:val="24"/>
        </w:rPr>
        <w:t>、</w:t>
      </w:r>
      <w:bookmarkEnd w:id="7"/>
      <w:bookmarkStart w:id="8" w:name="_Toc19515392"/>
      <w:r>
        <w:rPr>
          <w:rFonts w:hint="eastAsia" w:ascii="仿宋" w:hAnsi="仿宋" w:eastAsia="仿宋" w:cs="仿宋"/>
          <w:b/>
          <w:bCs/>
          <w:sz w:val="24"/>
        </w:rPr>
        <w:t>违约责任</w:t>
      </w:r>
      <w:bookmarkEnd w:id="8"/>
    </w:p>
    <w:p w14:paraId="0C16997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52F4B2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14:paraId="4B30218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2-1、如乙方事先未征得甲方同意并得到甲方的谅解而单方面延迟执行合同，应按合同总价款</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ascii="仿宋" w:hAnsi="仿宋" w:eastAsia="仿宋" w:cs="仿宋"/>
          <w:sz w:val="24"/>
          <w:u w:val="single"/>
        </w:rPr>
        <w:t xml:space="preserve"> </w:t>
      </w:r>
      <w:r>
        <w:rPr>
          <w:rFonts w:ascii="仿宋" w:hAnsi="仿宋" w:eastAsia="仿宋" w:cs="仿宋"/>
          <w:sz w:val="24"/>
        </w:rPr>
        <w:t>%</w:t>
      </w:r>
      <w:r>
        <w:rPr>
          <w:rFonts w:hint="eastAsia" w:ascii="仿宋" w:hAnsi="仿宋" w:eastAsia="仿宋" w:cs="仿宋"/>
          <w:sz w:val="24"/>
        </w:rPr>
        <w:t>向甲方支付违约金，同事甲方有权单方终止合同。</w:t>
      </w:r>
    </w:p>
    <w:p w14:paraId="67548ECA">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w:t>
      </w:r>
      <w:r>
        <w:rPr>
          <w:rFonts w:hint="eastAsia" w:ascii="仿宋" w:hAnsi="仿宋" w:eastAsia="仿宋" w:cs="仿宋"/>
          <w:sz w:val="24"/>
          <w:lang w:val="en-US" w:eastAsia="zh-CN"/>
        </w:rPr>
        <w:t>或修改服务</w:t>
      </w:r>
      <w:r>
        <w:rPr>
          <w:rFonts w:hint="eastAsia" w:ascii="仿宋" w:hAnsi="仿宋" w:eastAsia="仿宋" w:cs="仿宋"/>
          <w:sz w:val="24"/>
        </w:rPr>
        <w:t>时间或对乙方加收误期赔偿金。</w:t>
      </w:r>
    </w:p>
    <w:p w14:paraId="427A47F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3、违约终止合同：未按合同要求提供服务或不能满足</w:t>
      </w:r>
      <w:r>
        <w:rPr>
          <w:rFonts w:hint="eastAsia" w:ascii="仿宋" w:hAnsi="仿宋" w:eastAsia="仿宋" w:cs="仿宋"/>
          <w:sz w:val="24"/>
          <w:highlight w:val="none"/>
          <w:lang w:val="en-US" w:eastAsia="zh-CN"/>
        </w:rPr>
        <w:t>服务标准的</w:t>
      </w:r>
      <w:r>
        <w:rPr>
          <w:rFonts w:hint="eastAsia" w:ascii="仿宋" w:hAnsi="仿宋" w:eastAsia="仿宋" w:cs="仿宋"/>
          <w:sz w:val="24"/>
          <w:highlight w:val="none"/>
        </w:rPr>
        <w:t>，甲方</w:t>
      </w:r>
      <w:r>
        <w:rPr>
          <w:rFonts w:hint="eastAsia" w:ascii="仿宋" w:hAnsi="仿宋" w:eastAsia="仿宋" w:cs="仿宋"/>
          <w:sz w:val="24"/>
        </w:rPr>
        <w:t>会同监督机构有权终止合同，对乙方违约行为进行追究，同时按政府采购法的有关规定进行相应的处罚。</w:t>
      </w:r>
    </w:p>
    <w:p w14:paraId="19E0756C">
      <w:pPr>
        <w:pStyle w:val="9"/>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本合同服务期限内，如乙方不履行本合同义务或履行义务不符合约定的，甲方有权要求乙方承担继续履行、赔偿损失或支付违约金等违约责任。赔偿损失范围包括但不限于甲方另行委托第三方完成本合同约定服务内容产生的费用以及律师费、诉讼费等。</w:t>
      </w:r>
    </w:p>
    <w:p w14:paraId="13610ECF">
      <w:pPr>
        <w:pStyle w:val="9"/>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5.如乙方未按合同要求提供服务或服务质量不能满足服务要求的，甲方有权终止合同，并对乙方违约行为进行追究，同时按《中华人民共和国政府采购法》有关规定进行处罚。</w:t>
      </w:r>
    </w:p>
    <w:p w14:paraId="0FBE957D">
      <w:pPr>
        <w:pStyle w:val="9"/>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6.成交供应商不得对业务进行分包或转包。否则采购人有权终止合同，成交单位承担由此造成的一切经济损失。</w:t>
      </w:r>
    </w:p>
    <w:p w14:paraId="39A51443">
      <w:pPr>
        <w:pStyle w:val="9"/>
        <w:spacing w:line="480" w:lineRule="exact"/>
        <w:ind w:firstLine="480"/>
      </w:pPr>
      <w:r>
        <w:rPr>
          <w:rFonts w:hint="eastAsia" w:ascii="仿宋" w:hAnsi="仿宋" w:eastAsia="仿宋" w:cs="仿宋"/>
          <w:kern w:val="2"/>
          <w:sz w:val="24"/>
          <w:szCs w:val="24"/>
          <w:lang w:val="en-US" w:eastAsia="zh-CN" w:bidi="ar-SA"/>
        </w:rPr>
        <w:t>7.成交单位不得在服务期间对项目管理人员进行更换，如遇特殊情况须经采购人同意。采购人发现项目管理人员工作不力时，有权提出更换人员，更换人员必须及时到场。</w:t>
      </w:r>
    </w:p>
    <w:p w14:paraId="24E4D1FF">
      <w:pPr>
        <w:adjustRightInd w:val="0"/>
        <w:snapToGrid w:val="0"/>
        <w:spacing w:line="360" w:lineRule="auto"/>
        <w:ind w:firstLine="482" w:firstLineChars="200"/>
        <w:rPr>
          <w:rFonts w:ascii="仿宋" w:hAnsi="仿宋" w:eastAsia="仿宋" w:cs="仿宋"/>
          <w:b/>
          <w:bCs/>
          <w:sz w:val="24"/>
        </w:rPr>
      </w:pPr>
      <w:bookmarkStart w:id="9" w:name="_Toc19515393"/>
      <w:r>
        <w:rPr>
          <w:rFonts w:hint="eastAsia" w:ascii="仿宋" w:hAnsi="仿宋" w:eastAsia="仿宋" w:cs="仿宋"/>
          <w:b/>
          <w:bCs/>
          <w:sz w:val="24"/>
          <w:lang w:val="en-US" w:eastAsia="zh-CN"/>
        </w:rPr>
        <w:t>八</w:t>
      </w:r>
      <w:r>
        <w:rPr>
          <w:rFonts w:hint="eastAsia" w:ascii="仿宋" w:hAnsi="仿宋" w:eastAsia="仿宋" w:cs="仿宋"/>
          <w:b/>
          <w:bCs/>
          <w:sz w:val="24"/>
        </w:rPr>
        <w:t>、合同组成</w:t>
      </w:r>
      <w:bookmarkEnd w:id="9"/>
    </w:p>
    <w:p w14:paraId="220AC9B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03E7E67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13F0650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461BD0E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2484421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144AF7F3">
      <w:pPr>
        <w:adjustRightInd w:val="0"/>
        <w:snapToGrid w:val="0"/>
        <w:spacing w:line="360" w:lineRule="auto"/>
        <w:ind w:firstLine="482" w:firstLineChars="200"/>
        <w:rPr>
          <w:rFonts w:ascii="仿宋" w:hAnsi="仿宋" w:eastAsia="仿宋" w:cs="仿宋"/>
          <w:b/>
          <w:bCs/>
          <w:sz w:val="24"/>
        </w:rPr>
      </w:pPr>
      <w:bookmarkStart w:id="10" w:name="_Toc19515394"/>
      <w:r>
        <w:rPr>
          <w:rFonts w:hint="eastAsia" w:ascii="仿宋" w:hAnsi="仿宋" w:eastAsia="仿宋" w:cs="仿宋"/>
          <w:b/>
          <w:bCs/>
          <w:sz w:val="24"/>
          <w:lang w:val="en-US" w:eastAsia="zh-CN"/>
        </w:rPr>
        <w:t>九</w:t>
      </w:r>
      <w:r>
        <w:rPr>
          <w:rFonts w:hint="eastAsia" w:ascii="仿宋" w:hAnsi="仿宋" w:eastAsia="仿宋" w:cs="仿宋"/>
          <w:b/>
          <w:bCs/>
          <w:sz w:val="24"/>
        </w:rPr>
        <w:t>、解决争议的方法</w:t>
      </w:r>
      <w:bookmarkEnd w:id="10"/>
    </w:p>
    <w:p w14:paraId="4D68B73E">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 xml:space="preserve">凡因本合同引起的或与本合同有关的争议，双方应友好协商解决。协商不成时，双方均同意采用以下第（ </w:t>
      </w:r>
      <w:r>
        <w:rPr>
          <w:rFonts w:hint="eastAsia" w:ascii="仿宋" w:hAnsi="仿宋" w:eastAsia="仿宋" w:cs="仿宋"/>
          <w:kern w:val="0"/>
          <w:sz w:val="24"/>
          <w:lang w:val="en-US" w:eastAsia="zh-CN"/>
        </w:rPr>
        <w:t>1</w:t>
      </w:r>
      <w:r>
        <w:rPr>
          <w:rFonts w:hint="eastAsia" w:ascii="仿宋" w:hAnsi="仿宋" w:eastAsia="仿宋" w:cs="仿宋"/>
          <w:kern w:val="0"/>
          <w:sz w:val="24"/>
        </w:rPr>
        <w:t xml:space="preserve"> ）种争议解决方式：</w:t>
      </w:r>
    </w:p>
    <w:p w14:paraId="56D8CAA0">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w:t>
      </w:r>
      <w:r>
        <w:rPr>
          <w:rFonts w:hint="eastAsia" w:ascii="仿宋" w:hAnsi="仿宋" w:eastAsia="仿宋" w:cs="仿宋"/>
          <w:kern w:val="0"/>
          <w:sz w:val="24"/>
          <w:u w:val="single"/>
        </w:rPr>
        <w:t>（甲方所在地人民法院）</w:t>
      </w:r>
      <w:r>
        <w:rPr>
          <w:rFonts w:hint="eastAsia" w:ascii="仿宋" w:hAnsi="仿宋" w:eastAsia="仿宋" w:cs="仿宋"/>
          <w:kern w:val="0"/>
          <w:sz w:val="24"/>
        </w:rPr>
        <w:t>提起诉讼。</w:t>
      </w:r>
    </w:p>
    <w:p w14:paraId="10EB45C6">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rPr>
        <w:fldChar w:fldCharType="begin"/>
      </w:r>
      <w:r>
        <w:rPr>
          <w:rFonts w:hint="eastAsia" w:ascii="仿宋" w:hAnsi="仿宋" w:eastAsia="仿宋" w:cs="仿宋"/>
        </w:rPr>
        <w:instrText xml:space="preserve"> HYPERLINK "http://www.baidu.com/s?wd=%E4%BB%B2%E8%A3%81%E5%A7%94%E5%91%98%E4%BC%9A&amp;tn=SE_PcZhidaonwhc_ngpagmjz&amp;rsv_dl=gh_pc_zhidao" \t "_blank" </w:instrText>
      </w:r>
      <w:r>
        <w:rPr>
          <w:rFonts w:hint="eastAsia" w:ascii="仿宋" w:hAnsi="仿宋" w:eastAsia="仿宋" w:cs="仿宋"/>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1CE4692F">
      <w:pPr>
        <w:adjustRightInd w:val="0"/>
        <w:snapToGrid w:val="0"/>
        <w:spacing w:line="360" w:lineRule="auto"/>
        <w:ind w:firstLine="482" w:firstLineChars="200"/>
        <w:rPr>
          <w:rFonts w:ascii="仿宋" w:hAnsi="仿宋" w:eastAsia="仿宋" w:cs="仿宋"/>
          <w:b/>
          <w:bCs/>
          <w:sz w:val="24"/>
        </w:rPr>
      </w:pPr>
      <w:bookmarkStart w:id="11" w:name="_Toc19515395"/>
      <w:r>
        <w:rPr>
          <w:rFonts w:hint="eastAsia" w:ascii="仿宋" w:hAnsi="仿宋" w:eastAsia="仿宋" w:cs="仿宋"/>
          <w:b/>
          <w:bCs/>
          <w:sz w:val="24"/>
          <w:lang w:val="en-US" w:eastAsia="zh-CN"/>
        </w:rPr>
        <w:t>十</w:t>
      </w:r>
      <w:r>
        <w:rPr>
          <w:rFonts w:hint="eastAsia" w:ascii="仿宋" w:hAnsi="仿宋" w:eastAsia="仿宋" w:cs="仿宋"/>
          <w:b/>
          <w:bCs/>
          <w:sz w:val="24"/>
        </w:rPr>
        <w:t>、合同生效及其它</w:t>
      </w:r>
      <w:bookmarkEnd w:id="11"/>
    </w:p>
    <w:p w14:paraId="2A1DD972">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1572054">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225441C7">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rPr>
        <w:t>。</w:t>
      </w:r>
    </w:p>
    <w:p w14:paraId="4B1C690E">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tbl>
      <w:tblPr>
        <w:tblStyle w:val="7"/>
        <w:tblW w:w="0" w:type="auto"/>
        <w:jc w:val="center"/>
        <w:tblLayout w:type="fixed"/>
        <w:tblCellMar>
          <w:top w:w="0" w:type="dxa"/>
          <w:left w:w="108" w:type="dxa"/>
          <w:bottom w:w="0" w:type="dxa"/>
          <w:right w:w="108" w:type="dxa"/>
        </w:tblCellMar>
      </w:tblPr>
      <w:tblGrid>
        <w:gridCol w:w="4550"/>
        <w:gridCol w:w="4550"/>
      </w:tblGrid>
      <w:tr w14:paraId="3C7A75B9">
        <w:tblPrEx>
          <w:tblCellMar>
            <w:top w:w="0" w:type="dxa"/>
            <w:left w:w="108" w:type="dxa"/>
            <w:bottom w:w="0" w:type="dxa"/>
            <w:right w:w="108" w:type="dxa"/>
          </w:tblCellMar>
        </w:tblPrEx>
        <w:trPr>
          <w:trHeight w:val="1292" w:hRule="atLeast"/>
          <w:jc w:val="center"/>
        </w:trPr>
        <w:tc>
          <w:tcPr>
            <w:tcW w:w="4550" w:type="dxa"/>
          </w:tcPr>
          <w:p w14:paraId="3DE5C09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3DBA63D">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08ED4E16">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1F38958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4F66D041">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7544D86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550" w:type="dxa"/>
          </w:tcPr>
          <w:p w14:paraId="632CDBA6">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62704ED6">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30DD531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5EFAA8E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B8EDAC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71B0F021">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60CB66F6">
      <w:pPr>
        <w:pStyle w:val="10"/>
        <w:rPr>
          <w:rFonts w:hint="eastAsia" w:ascii="仿宋_GB2312" w:hAnsi="仿宋_GB2312" w:eastAsia="仿宋_GB2312" w:cs="仿宋_GB2312"/>
          <w:lang w:val="en-US" w:eastAsia="zh-Hans"/>
        </w:rPr>
      </w:pPr>
    </w:p>
    <w:p w14:paraId="3085EB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85C063"/>
    <w:multiLevelType w:val="singleLevel"/>
    <w:tmpl w:val="A785C063"/>
    <w:lvl w:ilvl="0" w:tentative="0">
      <w:start w:val="1"/>
      <w:numFmt w:val="decimal"/>
      <w:suff w:val="nothing"/>
      <w:lvlText w:val="（%1）"/>
      <w:lvlJc w:val="left"/>
    </w:lvl>
  </w:abstractNum>
  <w:abstractNum w:abstractNumId="1">
    <w:nsid w:val="00F6EF38"/>
    <w:multiLevelType w:val="singleLevel"/>
    <w:tmpl w:val="00F6EF38"/>
    <w:lvl w:ilvl="0" w:tentative="0">
      <w:start w:val="1"/>
      <w:numFmt w:val="decimal"/>
      <w:suff w:val="nothing"/>
      <w:lvlText w:val="%1、"/>
      <w:lvlJc w:val="left"/>
    </w:lvl>
  </w:abstractNum>
  <w:abstractNum w:abstractNumId="2">
    <w:nsid w:val="10A4C276"/>
    <w:multiLevelType w:val="singleLevel"/>
    <w:tmpl w:val="10A4C276"/>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283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szCs w:val="24"/>
    </w:rPr>
  </w:style>
  <w:style w:type="paragraph" w:styleId="3">
    <w:name w:val="Body Text Indent"/>
    <w:basedOn w:val="1"/>
    <w:next w:val="1"/>
    <w:qFormat/>
    <w:uiPriority w:val="0"/>
    <w:pPr>
      <w:tabs>
        <w:tab w:val="left" w:pos="8640"/>
      </w:tabs>
      <w:ind w:firstLine="420"/>
    </w:pPr>
    <w:rPr>
      <w:rFonts w:ascii="楷体_GB2312" w:eastAsia="楷体_GB2312"/>
      <w:color w:val="000000"/>
      <w:sz w:val="28"/>
    </w:rPr>
  </w:style>
  <w:style w:type="paragraph" w:styleId="4">
    <w:name w:val="Plain Text"/>
    <w:basedOn w:val="1"/>
    <w:next w:val="1"/>
    <w:qFormat/>
    <w:uiPriority w:val="99"/>
    <w:rPr>
      <w:rFonts w:ascii="宋体" w:hAnsi="Courier New" w:cs="Courier New"/>
      <w:szCs w:val="21"/>
    </w:rPr>
  </w:style>
  <w:style w:type="paragraph" w:styleId="5">
    <w:name w:val="Body Text First Indent"/>
    <w:basedOn w:val="2"/>
    <w:next w:val="6"/>
    <w:qFormat/>
    <w:uiPriority w:val="99"/>
    <w:pPr>
      <w:ind w:firstLine="420" w:firstLineChars="100"/>
    </w:pPr>
  </w:style>
  <w:style w:type="paragraph" w:styleId="6">
    <w:name w:val="Body Text First Indent 2"/>
    <w:basedOn w:val="3"/>
    <w:next w:val="1"/>
    <w:qFormat/>
    <w:uiPriority w:val="0"/>
    <w:pPr>
      <w:ind w:firstLine="200" w:firstLineChars="200"/>
    </w:pPr>
  </w:style>
  <w:style w:type="paragraph" w:customStyle="1" w:styleId="9">
    <w:name w:val="列出段落5"/>
    <w:basedOn w:val="1"/>
    <w:qFormat/>
    <w:uiPriority w:val="0"/>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2025-06-09T10:16:26Z</dcterms:created>
  <dc:creator>DELL</dc:creator>
  <cp:lastModifiedBy>To  encounter</cp:lastModifiedBy>
  <dcterms:modified xsi:type="dcterms:W3CDTF">2025-06-09T10:17:14Z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9FF21B1CE5F74F3D8BBBBB4039589B94_12</vt:lpwstr>
  </property>
</Properties>
</file>