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版本号：DRZB2025-ZC-12520250609001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第二十届中国国际中小企业博览会参展项目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DRZB2025-ZC-125</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第二十届中国国际中小企业博览会参展项目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第二十届中国国际中小企业博览会参展项目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第二十届中国国际中小企业博览会参展项目，具体内容详见磋商文件及采购需求。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采购包1（第二十届中国国际中小企业博览会参展项目）：属于专门面向中小企业采购。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11、非联合体声明：提供非联合体不分包响应。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采购包1保证金金额：9,125.00元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代理服务费收费标准：招标代理服务收费标准按照《国家发改委文件发改价格[2011]534 号文件》及《国家计委价格[2002]1980 号文件》规定标准下浮20%，（若单项目服务费按承诺收费标准计算不足5000元按5000元计取）。成交人在领取《成交通知书》之前，向采购代理机构一次付清代理服务费。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二十届中国国际中小企业博览会（简称中博会）由工业和信息化部、广东省人民政府联合主办，于2025年6月27日至30日在广州市中国进出口商品交易展馆举行。大会组委会在省（区、市）馆分配我省展示面积450平方米，要求整体特装。项目预算50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第二十届中国国际中小企业博览会参展项目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标的名称：第二十届中国国际中小企业博览会参展项目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第二十届中国国际中小企业博览会（简称中博会）由工业和信息化部、广东省人民政府联合主办，于2025年6月27日至30日在广州市中国进出口商品交易展馆举行。大会组委会在省（区、市）馆分配我省展示面积450平方米，要求整体特装。项目预算50万元。</w:t>
            </w:r>
          </w:p>
          <w:p>
            <w:pPr>
              <w:pStyle w:val="null3"/>
            </w:pPr>
            <w:r>
              <w:rPr>
                <w:rFonts w:ascii="仿宋_GB2312" w:hAnsi="仿宋_GB2312" w:cs="仿宋_GB2312" w:eastAsia="仿宋_GB2312"/>
              </w:rPr>
              <w:t>二、采购内容和需求</w:t>
            </w:r>
          </w:p>
          <w:p>
            <w:pPr>
              <w:pStyle w:val="null3"/>
            </w:pPr>
            <w:r>
              <w:rPr>
                <w:rFonts w:ascii="仿宋_GB2312" w:hAnsi="仿宋_GB2312" w:cs="仿宋_GB2312" w:eastAsia="仿宋_GB2312"/>
              </w:rPr>
              <w:t>（一）展会主场规划</w:t>
            </w:r>
          </w:p>
          <w:p>
            <w:pPr>
              <w:pStyle w:val="null3"/>
            </w:pPr>
            <w:r>
              <w:rPr>
                <w:rFonts w:ascii="仿宋_GB2312" w:hAnsi="仿宋_GB2312" w:cs="仿宋_GB2312" w:eastAsia="仿宋_GB2312"/>
              </w:rPr>
              <w:t>按照展示面积的规划进行设计，方案要彰显出陕西特色，包括各展位的单独设计和整体规划设计。</w:t>
            </w:r>
          </w:p>
          <w:p>
            <w:pPr>
              <w:pStyle w:val="null3"/>
            </w:pPr>
            <w:r>
              <w:rPr>
                <w:rFonts w:ascii="仿宋_GB2312" w:hAnsi="仿宋_GB2312" w:cs="仿宋_GB2312" w:eastAsia="仿宋_GB2312"/>
              </w:rPr>
              <w:t>（二）展会现场管理</w:t>
            </w:r>
          </w:p>
          <w:p>
            <w:pPr>
              <w:pStyle w:val="null3"/>
            </w:pPr>
            <w:r>
              <w:rPr>
                <w:rFonts w:ascii="仿宋_GB2312" w:hAnsi="仿宋_GB2312" w:cs="仿宋_GB2312" w:eastAsia="仿宋_GB2312"/>
              </w:rPr>
              <w:t>1.在展会布展、开展、撤展期间，组织专人进行现场施工和消防安全检查。</w:t>
            </w:r>
          </w:p>
          <w:p>
            <w:pPr>
              <w:pStyle w:val="null3"/>
            </w:pPr>
            <w:r>
              <w:rPr>
                <w:rFonts w:ascii="仿宋_GB2312" w:hAnsi="仿宋_GB2312" w:cs="仿宋_GB2312" w:eastAsia="仿宋_GB2312"/>
              </w:rPr>
              <w:t>2.配合公安消防部门及场馆管理单位在展会期间的治安、消防、施工安全检查工作。</w:t>
            </w:r>
          </w:p>
          <w:p>
            <w:pPr>
              <w:pStyle w:val="null3"/>
            </w:pPr>
            <w:r>
              <w:rPr>
                <w:rFonts w:ascii="仿宋_GB2312" w:hAnsi="仿宋_GB2312" w:cs="仿宋_GB2312" w:eastAsia="仿宋_GB2312"/>
              </w:rPr>
              <w:t>（三）展会展位搭建</w:t>
            </w:r>
          </w:p>
          <w:p>
            <w:pPr>
              <w:pStyle w:val="null3"/>
            </w:pPr>
            <w:r>
              <w:rPr>
                <w:rFonts w:ascii="仿宋_GB2312" w:hAnsi="仿宋_GB2312" w:cs="仿宋_GB2312" w:eastAsia="仿宋_GB2312"/>
              </w:rPr>
              <w:t>1.负责展会展位标识系统制作。</w:t>
            </w:r>
          </w:p>
          <w:p>
            <w:pPr>
              <w:pStyle w:val="null3"/>
            </w:pPr>
            <w:r>
              <w:rPr>
                <w:rFonts w:ascii="仿宋_GB2312" w:hAnsi="仿宋_GB2312" w:cs="仿宋_GB2312" w:eastAsia="仿宋_GB2312"/>
              </w:rPr>
              <w:t>2.负责展馆公共区域及通道有关铺设。</w:t>
            </w:r>
          </w:p>
          <w:p>
            <w:pPr>
              <w:pStyle w:val="null3"/>
            </w:pPr>
            <w:r>
              <w:rPr>
                <w:rFonts w:ascii="仿宋_GB2312" w:hAnsi="仿宋_GB2312" w:cs="仿宋_GB2312" w:eastAsia="仿宋_GB2312"/>
              </w:rPr>
              <w:t>（四）展会现场服务</w:t>
            </w:r>
          </w:p>
          <w:p>
            <w:pPr>
              <w:pStyle w:val="null3"/>
            </w:pPr>
            <w:r>
              <w:rPr>
                <w:rFonts w:ascii="仿宋_GB2312" w:hAnsi="仿宋_GB2312" w:cs="仿宋_GB2312" w:eastAsia="仿宋_GB2312"/>
              </w:rPr>
              <w:t>1.负责协助办理进场手续和加班申请。</w:t>
            </w:r>
          </w:p>
          <w:p>
            <w:pPr>
              <w:pStyle w:val="null3"/>
            </w:pPr>
            <w:r>
              <w:rPr>
                <w:rFonts w:ascii="仿宋_GB2312" w:hAnsi="仿宋_GB2312" w:cs="仿宋_GB2312" w:eastAsia="仿宋_GB2312"/>
              </w:rPr>
              <w:t>2.负责展会现场参展施工咨询、水电安装及展具租赁等服务工作。</w:t>
            </w:r>
          </w:p>
          <w:p>
            <w:pPr>
              <w:pStyle w:val="null3"/>
            </w:pPr>
            <w:r>
              <w:rPr>
                <w:rFonts w:ascii="仿宋_GB2312" w:hAnsi="仿宋_GB2312" w:cs="仿宋_GB2312" w:eastAsia="仿宋_GB2312"/>
              </w:rPr>
              <w:t>3.负责垫付展位保证金等相关费用。所有搭建产生的费用及手续，由搭建方负责，不再另行支付费用。</w:t>
            </w:r>
          </w:p>
          <w:p>
            <w:pPr>
              <w:pStyle w:val="null3"/>
            </w:pPr>
            <w:r>
              <w:rPr>
                <w:rFonts w:ascii="仿宋_GB2312" w:hAnsi="仿宋_GB2312" w:cs="仿宋_GB2312" w:eastAsia="仿宋_GB2312"/>
              </w:rPr>
              <w:t>4.负责与展馆接洽，办理相关手续。</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1.项目完成期限：2025年6月25日前完成布展搭建、按采购人验收意见调整等所有工作。具体的阶段性工期由供应商根据项目要求在响应文件中详细列出。</w:t>
            </w:r>
          </w:p>
          <w:p>
            <w:pPr>
              <w:pStyle w:val="null3"/>
            </w:pPr>
            <w:r>
              <w:rPr>
                <w:rFonts w:ascii="仿宋_GB2312" w:hAnsi="仿宋_GB2312" w:cs="仿宋_GB2312" w:eastAsia="仿宋_GB2312"/>
              </w:rPr>
              <w:t>2.成交供应商需按本项目完工期限要求的基础上，根据本项目的实际情况和需要，在响应文件中自行拟定本项目的进度计划安排。本项目合同签署后，成交供应商将进度安排计划深化后融入项目的设计中，并送采购人审查，双方协商一致时将按此进度计划执行。</w:t>
            </w:r>
          </w:p>
          <w:p>
            <w:pPr>
              <w:pStyle w:val="null3"/>
            </w:pPr>
            <w:r>
              <w:rPr>
                <w:rFonts w:ascii="仿宋_GB2312" w:hAnsi="仿宋_GB2312" w:cs="仿宋_GB2312" w:eastAsia="仿宋_GB2312"/>
              </w:rPr>
              <w:t>3.维护服务期：从布展完成至展览结束。展览结束后，由成交供应商负责项目的清拆、撤场工作。</w:t>
            </w:r>
          </w:p>
          <w:p>
            <w:pPr>
              <w:pStyle w:val="null3"/>
            </w:pPr>
            <w:r>
              <w:rPr>
                <w:rFonts w:ascii="仿宋_GB2312" w:hAnsi="仿宋_GB2312" w:cs="仿宋_GB2312" w:eastAsia="仿宋_GB2312"/>
              </w:rPr>
              <w:t>四、验收要求</w:t>
            </w:r>
          </w:p>
          <w:p>
            <w:pPr>
              <w:pStyle w:val="null3"/>
            </w:pPr>
            <w:r>
              <w:rPr>
                <w:rFonts w:ascii="仿宋_GB2312" w:hAnsi="仿宋_GB2312" w:cs="仿宋_GB2312" w:eastAsia="仿宋_GB2312"/>
              </w:rPr>
              <w:t>1.应遵守国家有关法律、法规和有关规定，并遵循安全、美观的基本原则，在设计与会展中必须贯彻有关安全、防火、环保、建筑、电器等现行标准和技术规范。</w:t>
            </w:r>
          </w:p>
          <w:p>
            <w:pPr>
              <w:pStyle w:val="null3"/>
            </w:pPr>
            <w:r>
              <w:rPr>
                <w:rFonts w:ascii="仿宋_GB2312" w:hAnsi="仿宋_GB2312" w:cs="仿宋_GB2312" w:eastAsia="仿宋_GB2312"/>
              </w:rPr>
              <w:t>2.材料应符合产品有关标准的质量要求和设计要求。</w:t>
            </w:r>
          </w:p>
          <w:p>
            <w:pPr>
              <w:pStyle w:val="null3"/>
            </w:pPr>
            <w:r>
              <w:rPr>
                <w:rFonts w:ascii="仿宋_GB2312" w:hAnsi="仿宋_GB2312" w:cs="仿宋_GB2312" w:eastAsia="仿宋_GB2312"/>
              </w:rPr>
              <w:t>3.对使用特殊规定材料制品和设备应按其产品说明书的规定进行。</w:t>
            </w:r>
          </w:p>
          <w:p>
            <w:pPr>
              <w:pStyle w:val="null3"/>
            </w:pPr>
            <w:r>
              <w:rPr>
                <w:rFonts w:ascii="仿宋_GB2312" w:hAnsi="仿宋_GB2312" w:cs="仿宋_GB2312" w:eastAsia="仿宋_GB2312"/>
              </w:rPr>
              <w:t>4.项目验收不合格，由成交人返工直至合格，有关返工、再行验收，以及给采购人造成的损失等费用由成交人承担。连续两次项目验收不合格的，采购人可终止合同，另行按规定选择其他供应商采购，由此带来的一切损失由成交人承担。</w:t>
            </w:r>
          </w:p>
          <w:p>
            <w:pPr>
              <w:pStyle w:val="null3"/>
            </w:pPr>
            <w:r>
              <w:rPr>
                <w:rFonts w:ascii="仿宋_GB2312" w:hAnsi="仿宋_GB2312" w:cs="仿宋_GB2312" w:eastAsia="仿宋_GB2312"/>
              </w:rPr>
              <w:t>五、其他要求及说明</w:t>
            </w:r>
          </w:p>
          <w:p>
            <w:pPr>
              <w:pStyle w:val="null3"/>
            </w:pPr>
            <w:r>
              <w:rPr>
                <w:rFonts w:ascii="仿宋_GB2312" w:hAnsi="仿宋_GB2312" w:cs="仿宋_GB2312" w:eastAsia="仿宋_GB2312"/>
              </w:rPr>
              <w:t>1.交货时间及地点</w:t>
            </w:r>
          </w:p>
          <w:p>
            <w:pPr>
              <w:pStyle w:val="null3"/>
            </w:pPr>
            <w:r>
              <w:rPr>
                <w:rFonts w:ascii="仿宋_GB2312" w:hAnsi="仿宋_GB2312" w:cs="仿宋_GB2312" w:eastAsia="仿宋_GB2312"/>
              </w:rPr>
              <w:t>交付时间：博览会开始前一天搭建及装修完成，并验收通过。</w:t>
            </w:r>
          </w:p>
          <w:p>
            <w:pPr>
              <w:pStyle w:val="null3"/>
            </w:pPr>
            <w:r>
              <w:rPr>
                <w:rFonts w:ascii="仿宋_GB2312" w:hAnsi="仿宋_GB2312" w:cs="仿宋_GB2312" w:eastAsia="仿宋_GB2312"/>
              </w:rPr>
              <w:t>交付地点：广州市中国进出口商品交易展馆。</w:t>
            </w:r>
          </w:p>
          <w:p>
            <w:pPr>
              <w:pStyle w:val="null3"/>
            </w:pPr>
            <w:r>
              <w:rPr>
                <w:rFonts w:ascii="仿宋_GB2312" w:hAnsi="仿宋_GB2312" w:cs="仿宋_GB2312" w:eastAsia="仿宋_GB2312"/>
              </w:rPr>
              <w:t>2.结算方法</w:t>
            </w:r>
          </w:p>
          <w:p>
            <w:pPr>
              <w:pStyle w:val="null3"/>
            </w:pPr>
            <w:r>
              <w:rPr>
                <w:rFonts w:ascii="仿宋_GB2312" w:hAnsi="仿宋_GB2312" w:cs="仿宋_GB2312" w:eastAsia="仿宋_GB2312"/>
              </w:rPr>
              <w:t>付款人：陕西省工业和信息化厅（国库集中支付）</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1、合同签订后，达到付款条件起7日内，支付合同总金额的60.00%；</w:t>
            </w:r>
          </w:p>
          <w:p>
            <w:pPr>
              <w:pStyle w:val="null3"/>
            </w:pPr>
            <w:r>
              <w:rPr>
                <w:rFonts w:ascii="仿宋_GB2312" w:hAnsi="仿宋_GB2312" w:cs="仿宋_GB2312" w:eastAsia="仿宋_GB2312"/>
              </w:rPr>
              <w:t>2、项目完成并通过验收后，达到付款条件起7日内，支付合同总金额的40.00%。</w:t>
            </w:r>
          </w:p>
          <w:p>
            <w:pPr>
              <w:pStyle w:val="null3"/>
            </w:pPr>
            <w:r>
              <w:rPr>
                <w:rFonts w:ascii="仿宋_GB2312" w:hAnsi="仿宋_GB2312" w:cs="仿宋_GB2312" w:eastAsia="仿宋_GB2312"/>
              </w:rPr>
              <w:t>发票要求：增值税普通发票。</w:t>
            </w:r>
          </w:p>
          <w:p>
            <w:pPr>
              <w:pStyle w:val="null3"/>
            </w:pPr>
            <w:r>
              <w:rPr>
                <w:rFonts w:ascii="仿宋_GB2312" w:hAnsi="仿宋_GB2312" w:cs="仿宋_GB2312" w:eastAsia="仿宋_GB2312"/>
              </w:rPr>
              <w:t>六、服务期限</w:t>
            </w:r>
          </w:p>
          <w:p>
            <w:pPr>
              <w:pStyle w:val="null3"/>
            </w:pPr>
            <w:r>
              <w:rPr>
                <w:rFonts w:ascii="仿宋_GB2312" w:hAnsi="仿宋_GB2312" w:cs="仿宋_GB2312" w:eastAsia="仿宋_GB2312"/>
              </w:rPr>
              <w:t>签订合同之日起至项目实施完毕。</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展会结束后按采购人要求提供相关资料。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签订合同之日起至项目实施完毕。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广州市中国进出口商品交易展馆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1.应对遵守国家有关法律、法规和有关规定，并遵循安全、美观的基本原则，在设计与会展中必须贯彻有关安全、防火、环保、建筑、电气等现行标准和技术规范。 2.材料应符合产品有关标准的质量要求和设计要求。 3.对使用特殊规定材料制品和设备应按其产品说明书的规定进行。 4.项目验收不合格，由成交人返工直至合格，有关返工、再行验收，以及给采购人造成的损失等费用由成交人承担。连续两次项目验收不合格的，采购人可终止合同，另行按规定选择其他供应商采购，由此带来的一切损失由成交人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文件递交截止时间前线下递交纸质版响应文件正本一份、副本二份。若电子版响应文件与纸质版响应文件不一致的，以陕西省政府采购电子化交易平台上传的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业绩.docx 供应商认为有必要说明的其他资料.docx 中小企业声明函 项目理解分析.docx 报价表 团队人员配备.docx 资格证明文件.docx 服务偏离表.docx 供应商承诺书.docx 后期服务承诺及合理化建议.docx 响应文件封面 分项报价表.docx 残疾人福利性单位声明函 标的清单 保证金缴纳凭证.docx 响应函 商务偏离表.docx 设计方案.docx 安全保障措施及应急预案.docx 服务方案.docx 监狱企业的证明文件 服务质量及进度计划保障措施.docx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业绩.docx 供应商认为有必要说明的其他资料.docx 中小企业声明函 项目理解分析.docx 报价表 团队人员配备.docx 资格证明文件.docx 服务偏离表.docx 供应商承诺书.docx 后期服务承诺及合理化建议.docx 响应文件封面 分项报价表.docx 残疾人福利性单位声明函 标的清单 保证金缴纳凭证.docx 响应函 商务偏离表.docx 设计方案.docx 安全保障措施及应急预案.docx 服务方案.docx 监狱企业的证明文件 服务质量及进度计划保障措施.docx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报价一览表.docx 业绩.docx 供应商认为有必要说明的其他资料.docx 中小企业声明函 项目理解分析.docx 报价表 团队人员配备.docx 资格证明文件.docx 服务偏离表.docx 供应商承诺书.docx 后期服务承诺及合理化建议.docx 响应文件封面 分项报价表.docx 残疾人福利性单位声明函 标的清单 保证金缴纳凭证.docx 响应函 商务偏离表.docx 设计方案.docx 安全保障措施及应急预案.docx 服务方案.docx 监狱企业的证明文件 服务质量及进度计划保障措施.docx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针对本项目提供对项目的理解，包括但不限于①项目背景、内容及意义的理解；②项目重点难点分析及应对措施；③对项目功能定位和展陈需求的理解。 方案各部分内容全面、阐述条理清晰详尽、符合本项目采购需求且描述详细可行性强得6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包括但不限于：①场地租赁与搭建；②展区布置、会场布置及物料准备；③展会及会议现场的管理、组织及协调方案；④展会及会议期间的运营维护；⑤展会及会议期间秩序维护及后勤保障方案。 方案各部分内容全面、阐述条理清晰详尽、符合本项目采购需求且描述详细可行性强得15分；每有一个评审内容缺项扣3分，每有一项评审内容存在缺陷，扣（0.1-2.9）分，扣完为止。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针对本项目提供展会设计方案，包括但不限于：①设计标准、设计风格；②空间设计及灯光设计方案；③宣传展板设计以及其他延展物料设计；④各洽谈区的展位设计。 方案各部分内容全面、阐述条理清晰详尽、符合本项目采购需求且描述详细可行性强得12分；每有一个评审内容缺项扣3分，每有一项评审内容存在缺陷，扣(0.1-2.9)分，扣完为止。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针对本项目提供服务质量及进度计划保障措施，包括但不限于：①服务质量承诺；②展会会期接待方案；③会期各项保障措施；④进度计划安排；⑤进度保障措施。 措施各部分内容全面、阐述条理清晰详尽、符合本项目采购需求且描述详细可行性强得15分；每有一个评审内容缺项扣3分，每有一项评审内容存在缺陷，扣(0.1-2.9)分，扣完为止。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服务质量及进度计划保障措施.docx</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针对本项目提供安全保障措施及应急预案，包括但不限于①安全管理制度；②安保计划；③安保设备配备方案；④安全隐患排查；⑤紧急医疗救援；⑥应对突发事件的处理措施。 方案各部分内容全面、阐述条理清晰详尽、符合本项目采购需求且描述详细可行性强得12分；每有一个评审内容缺项扣2分，每有一项评审内容存在缺陷，扣(0.1-1.9)分，扣完为止。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安全保障措施及应急预案.docx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针对本项目采购需求中的人员要求提供团队人员配备方案，包括但不限于①团队组织架构；②人员构成及分工；③岗位设置及岗位责任制度；④工作人员从业经验。 方案各部分内容全面、阐述条理清晰详尽、符合本项目采购需求且描述详细可行性强得8分；每有一个评审内容缺项扣2分，每有一项评审内容存在缺陷，扣(0.1-1.9)分，扣完为止。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 注：1、须提供项目团队人员名单（包括姓名、工作职责、联系方式等），否则不得分。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团队人员配备.docx</w:t>
            </w:r>
          </w:p>
        </w:tc>
      </w:tr>
      <w:tr>
        <w:tc>
          <w:tcPr>
            <w:tcW w:type="dxa" w:w="831"/>
            <w:vMerge/>
          </w:tcPr>
          <w:p/>
        </w:tc>
        <w:tc>
          <w:tcPr>
            <w:tcW w:type="dxa" w:w="1661"/>
          </w:tcPr>
          <w:p>
            <w:pPr>
              <w:pStyle w:val="null3"/>
            </w:pPr>
            <w:r>
              <w:rPr>
                <w:rFonts w:ascii="仿宋_GB2312" w:hAnsi="仿宋_GB2312" w:cs="仿宋_GB2312" w:eastAsia="仿宋_GB2312"/>
              </w:rPr>
              <w:t>后期服务承诺及合理化建议</w:t>
            </w:r>
          </w:p>
        </w:tc>
        <w:tc>
          <w:tcPr>
            <w:tcW w:type="dxa" w:w="2492"/>
          </w:tcPr>
          <w:p>
            <w:pPr>
              <w:pStyle w:val="null3"/>
            </w:pPr>
            <w:r>
              <w:rPr>
                <w:rFonts w:ascii="仿宋_GB2312" w:hAnsi="仿宋_GB2312" w:cs="仿宋_GB2312" w:eastAsia="仿宋_GB2312"/>
              </w:rPr>
              <w:t>针对本项目提供后期服务承诺及合理化建议，包括但不限于①展会后期宣传；②全过程资料的收集、整理及移交；③展会撤展方案；④合理化建议。 方案各部分内容全面、阐述条理清晰详尽、符合本项目采购需求且描述详细可行性强得12分；每有一个评审内容缺项扣3分；每有一项评审内容存在缺陷，扣(0.1-2.9)分，扣完为止。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后期服务承诺及合理化建议.docx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提供2022年5月1日以来类似项目业绩，每提供一个得2分，满分10分。注：以合同签订日期为准，提供合同复印件（包括首页、签字盖章页，金额等，金额不得涂抹）加盖公章。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满足采购文件要求且磋商价格最低的磋商报价为评标基准价，其价格分为满分。其他供应商的价格分统一按照下列公式计算：投标报价得分=（评标基准价/投标报价）×10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详见附件：服务质量及进度计划保障措施.docx</w:t>
      </w:r>
    </w:p>
    <w:p>
      <w:pPr>
        <w:pStyle w:val="null3"/>
        <w:ind w:firstLine="960"/>
      </w:pPr>
      <w:r>
        <w:rPr>
          <w:rFonts w:ascii="仿宋_GB2312" w:hAnsi="仿宋_GB2312" w:cs="仿宋_GB2312" w:eastAsia="仿宋_GB2312"/>
        </w:rPr>
        <w:t>详见附件：安全保障措施及应急预案.docx</w:t>
      </w:r>
    </w:p>
    <w:p>
      <w:pPr>
        <w:pStyle w:val="null3"/>
        <w:ind w:firstLine="960"/>
      </w:pPr>
      <w:r>
        <w:rPr>
          <w:rFonts w:ascii="仿宋_GB2312" w:hAnsi="仿宋_GB2312" w:cs="仿宋_GB2312" w:eastAsia="仿宋_GB2312"/>
        </w:rPr>
        <w:t>详见附件：团队人员配备.docx</w:t>
      </w:r>
    </w:p>
    <w:p>
      <w:pPr>
        <w:pStyle w:val="null3"/>
        <w:ind w:firstLine="960"/>
      </w:pPr>
      <w:r>
        <w:rPr>
          <w:rFonts w:ascii="仿宋_GB2312" w:hAnsi="仿宋_GB2312" w:cs="仿宋_GB2312" w:eastAsia="仿宋_GB2312"/>
        </w:rPr>
        <w:t>详见附件：后期服务承诺及合理化建议.docx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