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C7068">
      <w:pPr>
        <w:pStyle w:val="5"/>
        <w:jc w:val="center"/>
        <w:outlineLvl w:val="1"/>
        <w:rPr>
          <w:color w:val="auto"/>
          <w:highlight w:val="none"/>
        </w:rPr>
      </w:pPr>
      <w:r>
        <w:rPr>
          <w:rFonts w:ascii="仿宋_GB2312" w:hAnsi="仿宋_GB2312" w:eastAsia="仿宋_GB2312" w:cs="仿宋_GB2312"/>
          <w:b/>
          <w:color w:val="auto"/>
          <w:sz w:val="36"/>
          <w:highlight w:val="none"/>
        </w:rPr>
        <w:t>第八章 拟签订采购合同文本</w:t>
      </w:r>
    </w:p>
    <w:p w14:paraId="4A7EF6A0">
      <w:pPr>
        <w:pStyle w:val="5"/>
        <w:rPr>
          <w:color w:val="auto"/>
          <w:highlight w:val="none"/>
        </w:rPr>
      </w:pPr>
      <w:r>
        <w:rPr>
          <w:rFonts w:ascii="仿宋_GB2312" w:hAnsi="仿宋_GB2312" w:eastAsia="仿宋_GB2312" w:cs="仿宋_GB2312"/>
          <w:color w:val="auto"/>
          <w:highlight w:val="none"/>
        </w:rPr>
        <w:t xml:space="preserve"> </w:t>
      </w:r>
    </w:p>
    <w:p w14:paraId="2504013F">
      <w:pPr>
        <w:tabs>
          <w:tab w:val="left" w:pos="735"/>
        </w:tabs>
        <w:autoSpaceDE w:val="0"/>
        <w:autoSpaceDN w:val="0"/>
        <w:adjustRightInd w:val="0"/>
        <w:snapToGrid w:val="0"/>
        <w:spacing w:before="240" w:beforeLines="100" w:line="360" w:lineRule="auto"/>
        <w:rPr>
          <w:rFonts w:eastAsia="仿宋_GB2312"/>
          <w:b/>
          <w:bCs/>
          <w:color w:val="auto"/>
          <w:sz w:val="24"/>
          <w:highlight w:val="none"/>
          <w:lang w:val="zh-CN"/>
        </w:rPr>
      </w:pPr>
      <w:r>
        <w:rPr>
          <w:rFonts w:eastAsia="仿宋_GB2312"/>
          <w:b/>
          <w:bCs/>
          <w:color w:val="auto"/>
          <w:sz w:val="24"/>
          <w:highlight w:val="none"/>
          <w:lang w:val="zh-CN"/>
        </w:rPr>
        <w:t>甲方：</w:t>
      </w:r>
      <w:r>
        <w:rPr>
          <w:rFonts w:eastAsia="仿宋_GB2312"/>
          <w:bCs/>
          <w:color w:val="auto"/>
          <w:sz w:val="24"/>
          <w:highlight w:val="none"/>
          <w:lang w:val="zh-CN"/>
        </w:rPr>
        <w:t xml:space="preserve">（前款所称采购人）     </w:t>
      </w:r>
      <w:r>
        <w:rPr>
          <w:rFonts w:hint="eastAsia" w:eastAsia="仿宋_GB2312"/>
          <w:bCs/>
          <w:color w:val="auto"/>
          <w:sz w:val="24"/>
          <w:highlight w:val="none"/>
        </w:rPr>
        <w:t xml:space="preserve">    </w:t>
      </w:r>
      <w:r>
        <w:rPr>
          <w:rFonts w:eastAsia="仿宋_GB2312"/>
          <w:bCs/>
          <w:color w:val="auto"/>
          <w:sz w:val="24"/>
          <w:highlight w:val="none"/>
          <w:lang w:val="zh-CN"/>
        </w:rPr>
        <w:t>住所：</w:t>
      </w:r>
    </w:p>
    <w:p w14:paraId="2E3A7470">
      <w:pPr>
        <w:tabs>
          <w:tab w:val="left" w:pos="735"/>
        </w:tabs>
        <w:autoSpaceDE w:val="0"/>
        <w:autoSpaceDN w:val="0"/>
        <w:adjustRightInd w:val="0"/>
        <w:snapToGrid w:val="0"/>
        <w:spacing w:line="360" w:lineRule="auto"/>
        <w:rPr>
          <w:rFonts w:eastAsia="仿宋_GB2312"/>
          <w:bCs/>
          <w:color w:val="auto"/>
          <w:sz w:val="24"/>
          <w:highlight w:val="none"/>
          <w:lang w:val="zh-CN"/>
        </w:rPr>
      </w:pPr>
      <w:r>
        <w:rPr>
          <w:rFonts w:eastAsia="仿宋_GB2312"/>
          <w:b/>
          <w:bCs/>
          <w:color w:val="auto"/>
          <w:sz w:val="24"/>
          <w:highlight w:val="none"/>
          <w:lang w:val="zh-CN"/>
        </w:rPr>
        <w:t>乙方：</w:t>
      </w:r>
      <w:r>
        <w:rPr>
          <w:rFonts w:eastAsia="仿宋_GB2312"/>
          <w:bCs/>
          <w:color w:val="auto"/>
          <w:sz w:val="24"/>
          <w:highlight w:val="none"/>
          <w:lang w:val="zh-CN"/>
        </w:rPr>
        <w:t>（前款所称</w:t>
      </w:r>
      <w:r>
        <w:rPr>
          <w:rFonts w:hint="eastAsia" w:eastAsia="仿宋_GB2312"/>
          <w:bCs/>
          <w:color w:val="auto"/>
          <w:sz w:val="24"/>
          <w:highlight w:val="none"/>
        </w:rPr>
        <w:t>成交供应商</w:t>
      </w:r>
      <w:r>
        <w:rPr>
          <w:rFonts w:eastAsia="仿宋_GB2312"/>
          <w:bCs/>
          <w:color w:val="auto"/>
          <w:sz w:val="24"/>
          <w:highlight w:val="none"/>
          <w:lang w:val="zh-CN"/>
        </w:rPr>
        <w:t>）     住所：</w:t>
      </w:r>
    </w:p>
    <w:p w14:paraId="6CD38B35">
      <w:pPr>
        <w:adjustRightInd w:val="0"/>
        <w:snapToGrid w:val="0"/>
        <w:spacing w:line="360" w:lineRule="auto"/>
        <w:ind w:firstLine="480" w:firstLineChars="200"/>
        <w:rPr>
          <w:rFonts w:eastAsia="仿宋_GB2312"/>
          <w:color w:val="auto"/>
          <w:sz w:val="24"/>
          <w:highlight w:val="none"/>
        </w:rPr>
      </w:pPr>
      <w:bookmarkStart w:id="0" w:name="_Toc19515384"/>
      <w:r>
        <w:rPr>
          <w:rFonts w:eastAsia="仿宋_GB2312"/>
          <w:color w:val="auto"/>
          <w:sz w:val="24"/>
          <w:highlight w:val="none"/>
        </w:rPr>
        <w:t>一、合同内容（标的、数量、质量等）</w:t>
      </w:r>
      <w:bookmarkEnd w:id="0"/>
      <w:r>
        <w:rPr>
          <w:rFonts w:hint="eastAsia" w:eastAsia="仿宋_GB2312"/>
          <w:color w:val="auto"/>
          <w:sz w:val="24"/>
          <w:highlight w:val="none"/>
        </w:rPr>
        <w:t>：</w:t>
      </w:r>
    </w:p>
    <w:p w14:paraId="63A5CC7A">
      <w:pPr>
        <w:adjustRightInd w:val="0"/>
        <w:snapToGrid w:val="0"/>
        <w:spacing w:line="360" w:lineRule="auto"/>
        <w:ind w:firstLine="480" w:firstLineChars="200"/>
        <w:rPr>
          <w:rFonts w:eastAsia="仿宋_GB2312"/>
          <w:color w:val="auto"/>
          <w:sz w:val="24"/>
          <w:highlight w:val="none"/>
        </w:rPr>
      </w:pPr>
      <w:bookmarkStart w:id="1" w:name="_Toc19515385"/>
      <w:r>
        <w:rPr>
          <w:rFonts w:eastAsia="仿宋_GB2312"/>
          <w:color w:val="auto"/>
          <w:sz w:val="24"/>
          <w:highlight w:val="none"/>
        </w:rPr>
        <w:t>二、合同价款</w:t>
      </w:r>
      <w:bookmarkEnd w:id="1"/>
    </w:p>
    <w:p w14:paraId="026EAB0C">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1、合同总价：</w:t>
      </w:r>
    </w:p>
    <w:p w14:paraId="3C97CAA1">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2、合同总价包括：</w:t>
      </w:r>
    </w:p>
    <w:p w14:paraId="62173DA7">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3、合同为固定总价合同，不受市场价变化的影响。</w:t>
      </w:r>
    </w:p>
    <w:p w14:paraId="11D3C03D">
      <w:pPr>
        <w:adjustRightInd w:val="0"/>
        <w:snapToGrid w:val="0"/>
        <w:spacing w:line="360" w:lineRule="auto"/>
        <w:ind w:firstLine="480" w:firstLineChars="200"/>
        <w:rPr>
          <w:rFonts w:eastAsia="仿宋_GB2312"/>
          <w:color w:val="auto"/>
          <w:sz w:val="24"/>
          <w:highlight w:val="none"/>
        </w:rPr>
      </w:pPr>
      <w:bookmarkStart w:id="2" w:name="_Toc19515386"/>
      <w:r>
        <w:rPr>
          <w:rFonts w:eastAsia="仿宋_GB2312"/>
          <w:color w:val="auto"/>
          <w:sz w:val="24"/>
          <w:highlight w:val="none"/>
        </w:rPr>
        <w:t>三、合同结算</w:t>
      </w:r>
      <w:bookmarkEnd w:id="2"/>
    </w:p>
    <w:p w14:paraId="7AA3728C">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1、付款比例：</w:t>
      </w:r>
    </w:p>
    <w:p w14:paraId="79D928E9">
      <w:pPr>
        <w:adjustRightInd w:val="0"/>
        <w:snapToGrid w:val="0"/>
        <w:spacing w:line="360" w:lineRule="auto"/>
        <w:ind w:firstLine="480" w:firstLineChars="200"/>
        <w:rPr>
          <w:rFonts w:hint="default" w:eastAsia="仿宋_GB2312"/>
          <w:color w:val="auto"/>
          <w:sz w:val="24"/>
          <w:highlight w:val="none"/>
          <w:lang w:val="en-US" w:eastAsia="zh-CN"/>
        </w:rPr>
      </w:pPr>
      <w:r>
        <w:rPr>
          <w:rFonts w:hint="eastAsia" w:eastAsia="仿宋_GB2312"/>
          <w:color w:val="auto"/>
          <w:sz w:val="24"/>
          <w:highlight w:val="none"/>
          <w:lang w:val="en-US" w:eastAsia="zh-CN"/>
        </w:rPr>
        <w:t>1-1合同签订后，达到付款条件起15日内，支付合同总金额的20%;</w:t>
      </w:r>
    </w:p>
    <w:p w14:paraId="6DA7B9C2">
      <w:pPr>
        <w:adjustRightInd w:val="0"/>
        <w:snapToGrid w:val="0"/>
        <w:spacing w:line="360" w:lineRule="auto"/>
        <w:ind w:firstLine="480" w:firstLineChars="200"/>
        <w:rPr>
          <w:rFonts w:hint="default" w:eastAsia="仿宋_GB2312"/>
          <w:color w:val="auto"/>
          <w:sz w:val="24"/>
          <w:highlight w:val="none"/>
          <w:lang w:val="en-US" w:eastAsia="zh-CN"/>
        </w:rPr>
      </w:pPr>
      <w:r>
        <w:rPr>
          <w:rFonts w:hint="eastAsia" w:eastAsia="仿宋_GB2312"/>
          <w:color w:val="auto"/>
          <w:sz w:val="24"/>
          <w:highlight w:val="none"/>
          <w:lang w:val="en-US" w:eastAsia="zh-CN"/>
        </w:rPr>
        <w:t>1-2合同签订3个月后，达到付款条件起15日内，支付合同总金额的20%;</w:t>
      </w:r>
    </w:p>
    <w:p w14:paraId="262C3027">
      <w:pPr>
        <w:adjustRightInd w:val="0"/>
        <w:snapToGrid w:val="0"/>
        <w:spacing w:line="360" w:lineRule="auto"/>
        <w:ind w:firstLine="480" w:firstLineChars="200"/>
        <w:rPr>
          <w:rFonts w:hint="default" w:eastAsia="仿宋_GB2312"/>
          <w:color w:val="auto"/>
          <w:sz w:val="24"/>
          <w:highlight w:val="none"/>
          <w:lang w:val="en-US" w:eastAsia="zh-CN"/>
        </w:rPr>
      </w:pPr>
      <w:r>
        <w:rPr>
          <w:rFonts w:hint="eastAsia" w:eastAsia="仿宋_GB2312"/>
          <w:color w:val="auto"/>
          <w:sz w:val="24"/>
          <w:highlight w:val="none"/>
          <w:lang w:val="en-US" w:eastAsia="zh-CN"/>
        </w:rPr>
        <w:t>1-3合同签订6个月后，达到付款条件起15日内，支付合同总金额的20%;</w:t>
      </w:r>
    </w:p>
    <w:p w14:paraId="4177C6E5">
      <w:pPr>
        <w:adjustRightInd w:val="0"/>
        <w:snapToGrid w:val="0"/>
        <w:spacing w:line="360" w:lineRule="auto"/>
        <w:ind w:firstLine="480" w:firstLineChars="200"/>
        <w:rPr>
          <w:rFonts w:hint="default" w:eastAsia="仿宋_GB2312"/>
          <w:color w:val="auto"/>
          <w:sz w:val="24"/>
          <w:highlight w:val="none"/>
          <w:lang w:val="en-US" w:eastAsia="zh-CN"/>
        </w:rPr>
      </w:pPr>
      <w:r>
        <w:rPr>
          <w:rFonts w:hint="eastAsia" w:eastAsia="仿宋_GB2312"/>
          <w:color w:val="auto"/>
          <w:sz w:val="24"/>
          <w:highlight w:val="none"/>
          <w:lang w:val="en-US" w:eastAsia="zh-CN"/>
        </w:rPr>
        <w:t>1-4合同签订9个月后，达到付款条件起15日内，支付合同总金额的20%;</w:t>
      </w:r>
    </w:p>
    <w:p w14:paraId="3754E2AF">
      <w:pPr>
        <w:adjustRightInd w:val="0"/>
        <w:snapToGrid w:val="0"/>
        <w:spacing w:line="360" w:lineRule="auto"/>
        <w:ind w:firstLine="480" w:firstLineChars="200"/>
        <w:rPr>
          <w:rFonts w:hint="default" w:eastAsia="仿宋_GB2312"/>
          <w:color w:val="auto"/>
          <w:sz w:val="24"/>
          <w:highlight w:val="none"/>
          <w:lang w:val="en-US" w:eastAsia="zh-CN"/>
        </w:rPr>
      </w:pPr>
      <w:r>
        <w:rPr>
          <w:rFonts w:hint="eastAsia" w:eastAsia="仿宋_GB2312"/>
          <w:color w:val="auto"/>
          <w:sz w:val="24"/>
          <w:highlight w:val="none"/>
          <w:lang w:val="en-US" w:eastAsia="zh-CN"/>
        </w:rPr>
        <w:t>1-5合同签订12个月后，达到付款条件起15日内，支付合同总金额的20%。</w:t>
      </w:r>
    </w:p>
    <w:p w14:paraId="221D1E41">
      <w:pPr>
        <w:rPr>
          <w:rFonts w:hint="default"/>
          <w:color w:val="auto"/>
          <w:highlight w:val="none"/>
          <w:lang w:val="en-US" w:eastAsia="zh-CN"/>
        </w:rPr>
      </w:pPr>
    </w:p>
    <w:p w14:paraId="5C46E422">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2、结算方式：银行转账。</w:t>
      </w:r>
    </w:p>
    <w:p w14:paraId="72323647">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3、结算单位：由</w:t>
      </w:r>
      <w:r>
        <w:rPr>
          <w:rFonts w:eastAsia="仿宋_GB2312"/>
          <w:color w:val="auto"/>
          <w:sz w:val="24"/>
          <w:highlight w:val="none"/>
          <w:u w:val="single"/>
        </w:rPr>
        <w:t xml:space="preserve">         </w:t>
      </w:r>
      <w:r>
        <w:rPr>
          <w:rFonts w:eastAsia="仿宋_GB2312"/>
          <w:color w:val="auto"/>
          <w:sz w:val="24"/>
          <w:highlight w:val="none"/>
        </w:rPr>
        <w:t>负责结算，</w:t>
      </w:r>
      <w:r>
        <w:rPr>
          <w:rFonts w:hint="eastAsia" w:eastAsia="仿宋_GB2312"/>
          <w:color w:val="auto"/>
          <w:sz w:val="24"/>
          <w:highlight w:val="none"/>
        </w:rPr>
        <w:t>每次付款前，</w:t>
      </w:r>
      <w:r>
        <w:rPr>
          <w:rFonts w:eastAsia="仿宋_GB2312"/>
          <w:color w:val="auto"/>
          <w:sz w:val="24"/>
          <w:highlight w:val="none"/>
        </w:rPr>
        <w:t>乙方开具合同总价数的</w:t>
      </w:r>
      <w:r>
        <w:rPr>
          <w:rFonts w:hint="eastAsia" w:eastAsia="仿宋_GB2312"/>
          <w:color w:val="auto"/>
          <w:sz w:val="24"/>
          <w:highlight w:val="none"/>
        </w:rPr>
        <w:t>等额</w:t>
      </w:r>
      <w:r>
        <w:rPr>
          <w:rFonts w:eastAsia="仿宋_GB2312"/>
          <w:color w:val="auto"/>
          <w:sz w:val="24"/>
          <w:highlight w:val="none"/>
        </w:rPr>
        <w:t>发票交采购人。</w:t>
      </w:r>
    </w:p>
    <w:p w14:paraId="41F32EC6">
      <w:pPr>
        <w:adjustRightInd w:val="0"/>
        <w:snapToGrid w:val="0"/>
        <w:spacing w:line="360" w:lineRule="auto"/>
        <w:ind w:firstLine="480" w:firstLineChars="200"/>
        <w:rPr>
          <w:rFonts w:eastAsia="仿宋_GB2312"/>
          <w:color w:val="auto"/>
          <w:sz w:val="24"/>
          <w:highlight w:val="none"/>
        </w:rPr>
      </w:pPr>
      <w:bookmarkStart w:id="3" w:name="_Toc19515387"/>
      <w:r>
        <w:rPr>
          <w:rFonts w:eastAsia="仿宋_GB2312"/>
          <w:color w:val="auto"/>
          <w:sz w:val="24"/>
          <w:highlight w:val="none"/>
        </w:rPr>
        <w:t>四、</w:t>
      </w:r>
      <w:r>
        <w:rPr>
          <w:rFonts w:hint="eastAsia" w:eastAsia="仿宋_GB2312"/>
          <w:color w:val="auto"/>
          <w:sz w:val="24"/>
          <w:highlight w:val="none"/>
          <w:lang w:val="en-US" w:eastAsia="zh-CN"/>
        </w:rPr>
        <w:t>服务期</w:t>
      </w:r>
      <w:r>
        <w:rPr>
          <w:rFonts w:eastAsia="仿宋_GB2312"/>
          <w:color w:val="auto"/>
          <w:sz w:val="24"/>
          <w:highlight w:val="none"/>
        </w:rPr>
        <w:t>、地点及方式</w:t>
      </w:r>
      <w:bookmarkEnd w:id="3"/>
      <w:r>
        <w:rPr>
          <w:rFonts w:hint="eastAsia" w:eastAsia="仿宋_GB2312"/>
          <w:color w:val="auto"/>
          <w:sz w:val="24"/>
          <w:highlight w:val="none"/>
        </w:rPr>
        <w:t>：</w:t>
      </w:r>
    </w:p>
    <w:p w14:paraId="1D99E1D7">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rPr>
        <w:t>服务期限</w:t>
      </w:r>
      <w:r>
        <w:rPr>
          <w:rFonts w:eastAsia="仿宋_GB2312"/>
          <w:color w:val="auto"/>
          <w:sz w:val="24"/>
          <w:highlight w:val="none"/>
        </w:rPr>
        <w:t>：</w:t>
      </w:r>
      <w:r>
        <w:rPr>
          <w:rFonts w:hint="eastAsia" w:eastAsia="仿宋_GB2312"/>
          <w:color w:val="auto"/>
          <w:sz w:val="24"/>
          <w:highlight w:val="none"/>
        </w:rPr>
        <w:t>1年。</w:t>
      </w:r>
      <w:bookmarkStart w:id="9" w:name="_GoBack"/>
      <w:bookmarkEnd w:id="9"/>
    </w:p>
    <w:p w14:paraId="33682348">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2、地点：</w:t>
      </w:r>
      <w:r>
        <w:rPr>
          <w:rFonts w:hint="eastAsia" w:eastAsia="仿宋_GB2312"/>
          <w:color w:val="auto"/>
          <w:sz w:val="24"/>
          <w:highlight w:val="none"/>
        </w:rPr>
        <w:t>采购人指定地点</w:t>
      </w:r>
    </w:p>
    <w:p w14:paraId="647B6C08">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3、方式：</w:t>
      </w:r>
    </w:p>
    <w:p w14:paraId="4B6AA029">
      <w:pPr>
        <w:adjustRightInd w:val="0"/>
        <w:snapToGrid w:val="0"/>
        <w:spacing w:line="360" w:lineRule="auto"/>
        <w:ind w:firstLine="480" w:firstLineChars="200"/>
        <w:rPr>
          <w:rFonts w:ascii="仿宋" w:hAnsi="仿宋" w:eastAsia="仿宋" w:cs="仿宋"/>
          <w:color w:val="auto"/>
          <w:sz w:val="24"/>
          <w:highlight w:val="none"/>
        </w:rPr>
      </w:pPr>
      <w:bookmarkStart w:id="4" w:name="_Toc19515390"/>
      <w:r>
        <w:rPr>
          <w:rFonts w:hint="eastAsia" w:ascii="仿宋" w:hAnsi="仿宋" w:eastAsia="仿宋" w:cs="仿宋"/>
          <w:color w:val="auto"/>
          <w:sz w:val="24"/>
          <w:highlight w:val="none"/>
        </w:rPr>
        <w:t>五、技术服务</w:t>
      </w:r>
      <w:bookmarkEnd w:id="4"/>
    </w:p>
    <w:p w14:paraId="4D427777">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对技术服务的要求：满足磋商文件要求</w:t>
      </w:r>
    </w:p>
    <w:p w14:paraId="26691F15">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六、双方的权利和义务</w:t>
      </w:r>
    </w:p>
    <w:p w14:paraId="57E72F33">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（一）甲方的权利和义务</w:t>
      </w:r>
    </w:p>
    <w:p w14:paraId="76FD736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1、明确所需服务要求；</w:t>
      </w:r>
    </w:p>
    <w:p w14:paraId="75A664AF">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2、对乙方所供服务进行验收；</w:t>
      </w:r>
    </w:p>
    <w:p w14:paraId="4CA79988">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3、按约支付价款。</w:t>
      </w:r>
    </w:p>
    <w:p w14:paraId="45851A15">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（二）乙方的权利和义务</w:t>
      </w:r>
    </w:p>
    <w:p w14:paraId="6B4AE096">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1、保证所供服务符合甲方要求；</w:t>
      </w:r>
    </w:p>
    <w:p w14:paraId="768FDB3A">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2、按时向甲方提供服务；</w:t>
      </w:r>
    </w:p>
    <w:p w14:paraId="41E99D17">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3、主动通知甲方办理验收，并办理结算手续。</w:t>
      </w:r>
    </w:p>
    <w:p w14:paraId="75A21E55">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七、验收</w:t>
      </w:r>
    </w:p>
    <w:p w14:paraId="6C37FEFF">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1、验收：由甲方组织验收，验收合格后向乙方出具验收结果</w:t>
      </w:r>
      <w:r>
        <w:rPr>
          <w:rFonts w:hint="eastAsia" w:ascii="仿宋" w:hAnsi="仿宋" w:eastAsia="仿宋" w:cs="仿宋"/>
          <w:color w:val="auto"/>
          <w:highlight w:val="none"/>
        </w:rPr>
        <w:t>，</w:t>
      </w:r>
      <w:r>
        <w:rPr>
          <w:rFonts w:hint="eastAsia" w:ascii="仿宋" w:hAnsi="仿宋" w:eastAsia="仿宋" w:cs="仿宋"/>
          <w:color w:val="auto"/>
          <w:sz w:val="24"/>
          <w:highlight w:val="none"/>
        </w:rPr>
        <w:t>验收发生的费用由乙方承担。</w:t>
      </w:r>
    </w:p>
    <w:p w14:paraId="57D87AE8">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2、验收依据：</w:t>
      </w:r>
    </w:p>
    <w:p w14:paraId="21231C49">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2-1、合同文本、合同附件、竞争性磋商文件、成交供应商的响应文件。</w:t>
      </w:r>
    </w:p>
    <w:p w14:paraId="3188DB91">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2-2、国内相应的标准、规范。</w:t>
      </w:r>
    </w:p>
    <w:p w14:paraId="3B762A9D">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2、验收依据：验收时按照乙方响应文件中的响应表逐条验收，采购人发现有虚假时，乙方承诺按照国家相关法律承担相应责任，同时承诺对采购人进行成交金额的全款赔付。</w:t>
      </w:r>
    </w:p>
    <w:p w14:paraId="6E69D531">
      <w:pPr>
        <w:adjustRightInd w:val="0"/>
        <w:snapToGrid w:val="0"/>
        <w:spacing w:line="360" w:lineRule="auto"/>
        <w:ind w:firstLine="480" w:firstLineChars="200"/>
        <w:rPr>
          <w:rFonts w:ascii="仿宋" w:hAnsi="仿宋" w:eastAsia="仿宋" w:cs="仿宋"/>
          <w:color w:val="auto"/>
          <w:sz w:val="24"/>
          <w:highlight w:val="none"/>
        </w:rPr>
      </w:pPr>
      <w:bookmarkStart w:id="5" w:name="_Toc19515392"/>
      <w:r>
        <w:rPr>
          <w:rFonts w:hint="eastAsia" w:ascii="仿宋" w:hAnsi="仿宋" w:eastAsia="仿宋" w:cs="仿宋"/>
          <w:color w:val="auto"/>
          <w:sz w:val="24"/>
          <w:highlight w:val="none"/>
        </w:rPr>
        <w:t>八、保密条款</w:t>
      </w:r>
    </w:p>
    <w:p w14:paraId="690548A9">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05DF936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5B160B1E">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3、本条款为独立条款,本合同的无效、变更、解除和终止均不影响本条款的效力。</w:t>
      </w:r>
    </w:p>
    <w:p w14:paraId="24B77C14">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九、违约责任</w:t>
      </w:r>
      <w:bookmarkEnd w:id="5"/>
    </w:p>
    <w:p w14:paraId="12777EC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1、按《中华人民共和国民法典》中的相关条款执行。</w:t>
      </w:r>
    </w:p>
    <w:p w14:paraId="2FE40DB4">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2、乙方履约延误</w:t>
      </w:r>
    </w:p>
    <w:p w14:paraId="28C9E5B9">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2-1、如乙方事先未征得甲方同意并得到甲方的谅解而单方面延迟执行合同，将按违约终止合同。</w:t>
      </w:r>
    </w:p>
    <w:p w14:paraId="49C2D160">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7A019BD">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3、违约终止合同：未按合同要求提供服务或不能满足技术要求，甲方会同监督机构有权终止合同，对乙方违约行为进行追究，同时按政府采购法的有关规定进行相应的处罚。</w:t>
      </w:r>
    </w:p>
    <w:p w14:paraId="413A3D43">
      <w:pPr>
        <w:adjustRightInd w:val="0"/>
        <w:snapToGrid w:val="0"/>
        <w:spacing w:line="360" w:lineRule="auto"/>
        <w:ind w:firstLine="480" w:firstLineChars="200"/>
        <w:rPr>
          <w:rFonts w:ascii="仿宋" w:hAnsi="仿宋" w:eastAsia="仿宋" w:cs="仿宋"/>
          <w:color w:val="auto"/>
          <w:sz w:val="24"/>
          <w:highlight w:val="none"/>
        </w:rPr>
      </w:pPr>
      <w:bookmarkStart w:id="6" w:name="_Toc19515393"/>
      <w:r>
        <w:rPr>
          <w:rFonts w:hint="eastAsia" w:ascii="仿宋" w:hAnsi="仿宋" w:eastAsia="仿宋" w:cs="仿宋"/>
          <w:color w:val="auto"/>
          <w:sz w:val="24"/>
          <w:highlight w:val="none"/>
        </w:rPr>
        <w:t>十、合同组成</w:t>
      </w:r>
      <w:bookmarkEnd w:id="6"/>
    </w:p>
    <w:p w14:paraId="76CFE390">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1、成交通知书</w:t>
      </w:r>
    </w:p>
    <w:p w14:paraId="5F26F2EC">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2、合同文件</w:t>
      </w:r>
    </w:p>
    <w:p w14:paraId="64D3E66D">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3、国家相关规范及标准</w:t>
      </w:r>
    </w:p>
    <w:p w14:paraId="4DB5B460">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4、竞争性磋商文件</w:t>
      </w:r>
    </w:p>
    <w:p w14:paraId="225B3C1B">
      <w:pPr>
        <w:adjustRightInd w:val="0"/>
        <w:snapToGrid w:val="0"/>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5、成交供应商的响应文件</w:t>
      </w:r>
    </w:p>
    <w:p w14:paraId="74CAF069">
      <w:pPr>
        <w:adjustRightInd w:val="0"/>
        <w:snapToGrid w:val="0"/>
        <w:spacing w:line="360" w:lineRule="auto"/>
        <w:ind w:firstLine="480" w:firstLineChars="200"/>
        <w:rPr>
          <w:rFonts w:ascii="仿宋" w:hAnsi="仿宋" w:eastAsia="仿宋" w:cs="仿宋"/>
          <w:color w:val="auto"/>
          <w:sz w:val="24"/>
          <w:highlight w:val="none"/>
        </w:rPr>
      </w:pPr>
      <w:bookmarkStart w:id="7" w:name="_Toc19515394"/>
      <w:r>
        <w:rPr>
          <w:rFonts w:hint="eastAsia" w:ascii="仿宋" w:hAnsi="仿宋" w:eastAsia="仿宋" w:cs="仿宋"/>
          <w:color w:val="auto"/>
          <w:sz w:val="24"/>
          <w:highlight w:val="none"/>
        </w:rPr>
        <w:t>十一、解决争议的方法</w:t>
      </w:r>
      <w:bookmarkEnd w:id="7"/>
    </w:p>
    <w:p w14:paraId="2DD8EB86">
      <w:pPr>
        <w:widowControl/>
        <w:autoSpaceDE w:val="0"/>
        <w:autoSpaceDN w:val="0"/>
        <w:snapToGrid w:val="0"/>
        <w:spacing w:line="360" w:lineRule="auto"/>
        <w:ind w:right="-110"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凡因本合同引起的或与本合同有关的争议，双方应友好协商解决。协商不成时，双方均同意采用以下第（  ）种争议解决方式：</w:t>
      </w:r>
    </w:p>
    <w:p w14:paraId="1C8F74CD">
      <w:pPr>
        <w:widowControl/>
        <w:autoSpaceDE w:val="0"/>
        <w:autoSpaceDN w:val="0"/>
        <w:snapToGrid w:val="0"/>
        <w:spacing w:line="360" w:lineRule="auto"/>
        <w:ind w:right="-110"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（1）、甲、乙双方均同意向（甲方所在地人民法院）提起诉讼。</w:t>
      </w:r>
    </w:p>
    <w:p w14:paraId="1B576CAA">
      <w:pPr>
        <w:widowControl/>
        <w:autoSpaceDE w:val="0"/>
        <w:autoSpaceDN w:val="0"/>
        <w:snapToGrid w:val="0"/>
        <w:spacing w:line="360" w:lineRule="auto"/>
        <w:ind w:right="-110"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（2）、甲、乙双方均同意向（</w:t>
      </w:r>
      <w:r>
        <w:rPr>
          <w:color w:val="auto"/>
          <w:highlight w:val="none"/>
        </w:rPr>
        <w:fldChar w:fldCharType="begin"/>
      </w:r>
      <w:r>
        <w:rPr>
          <w:color w:val="auto"/>
          <w:highlight w:val="none"/>
        </w:rPr>
        <w:instrText xml:space="preserve"> HYPERLINK "http://www.baidu.com/s?wd=%E4%BB%B2%E8%A3%81%E5%A7%94%E5%91%98%E4%BC%9A&amp;tn=SE_PcZhidaonwhc_ngpagmjz&amp;rsv_dl=gh_pc_zhidao" \t "_blank" </w:instrText>
      </w:r>
      <w:r>
        <w:rPr>
          <w:color w:val="auto"/>
          <w:highlight w:val="none"/>
        </w:rPr>
        <w:fldChar w:fldCharType="separate"/>
      </w:r>
      <w:r>
        <w:rPr>
          <w:rFonts w:hint="eastAsia" w:ascii="仿宋" w:hAnsi="仿宋" w:eastAsia="仿宋" w:cs="仿宋"/>
          <w:color w:val="auto"/>
          <w:kern w:val="0"/>
          <w:sz w:val="24"/>
          <w:highlight w:val="none"/>
        </w:rPr>
        <w:t>仲裁委员会</w:t>
      </w:r>
      <w:r>
        <w:rPr>
          <w:rFonts w:hint="eastAsia" w:ascii="仿宋" w:hAnsi="仿宋" w:eastAsia="仿宋" w:cs="仿宋"/>
          <w:color w:val="auto"/>
          <w:kern w:val="0"/>
          <w:sz w:val="24"/>
          <w:highlight w:val="none"/>
        </w:rPr>
        <w:fldChar w:fldCharType="end"/>
      </w:r>
      <w:r>
        <w:rPr>
          <w:rFonts w:hint="eastAsia" w:ascii="仿宋" w:hAnsi="仿宋" w:eastAsia="仿宋" w:cs="仿宋"/>
          <w:color w:val="auto"/>
          <w:kern w:val="0"/>
          <w:sz w:val="24"/>
          <w:highlight w:val="none"/>
        </w:rPr>
        <w:t>）提起仲裁。</w:t>
      </w:r>
    </w:p>
    <w:p w14:paraId="627080D1">
      <w:pPr>
        <w:adjustRightInd w:val="0"/>
        <w:snapToGrid w:val="0"/>
        <w:spacing w:line="360" w:lineRule="auto"/>
        <w:ind w:firstLine="480" w:firstLineChars="200"/>
        <w:rPr>
          <w:rFonts w:ascii="仿宋" w:hAnsi="仿宋" w:eastAsia="仿宋" w:cs="仿宋"/>
          <w:color w:val="auto"/>
          <w:sz w:val="24"/>
          <w:highlight w:val="none"/>
        </w:rPr>
      </w:pPr>
      <w:bookmarkStart w:id="8" w:name="_Toc19515395"/>
      <w:r>
        <w:rPr>
          <w:rFonts w:hint="eastAsia" w:ascii="仿宋" w:hAnsi="仿宋" w:eastAsia="仿宋" w:cs="仿宋"/>
          <w:color w:val="auto"/>
          <w:sz w:val="24"/>
          <w:highlight w:val="none"/>
        </w:rPr>
        <w:t>十二、合同生效及其它</w:t>
      </w:r>
      <w:bookmarkEnd w:id="8"/>
    </w:p>
    <w:p w14:paraId="04F6E559">
      <w:pPr>
        <w:widowControl/>
        <w:autoSpaceDE w:val="0"/>
        <w:autoSpaceDN w:val="0"/>
        <w:snapToGrid w:val="0"/>
        <w:spacing w:line="360" w:lineRule="auto"/>
        <w:ind w:right="-110"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1、合同未尽事宜、由甲、乙双方协商，作为合同补充，与原合同具有同等法律效力。</w:t>
      </w:r>
    </w:p>
    <w:p w14:paraId="18469261">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2、 本合同正本一式</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份，甲方、乙方双方分别执</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份，</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备案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份。</w:t>
      </w:r>
    </w:p>
    <w:p w14:paraId="373C95B4">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3、合同经甲乙双方盖章、签字后生效，合同签订地点为</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p>
    <w:p w14:paraId="382D1537">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color w:val="auto"/>
          <w:kern w:val="0"/>
          <w:sz w:val="24"/>
          <w:highlight w:val="none"/>
        </w:rPr>
      </w:pPr>
      <w:r>
        <w:rPr>
          <w:rFonts w:hint="eastAsia" w:ascii="仿宋" w:hAnsi="仿宋" w:eastAsia="仿宋" w:cs="仿宋"/>
          <w:color w:val="auto"/>
          <w:kern w:val="0"/>
          <w:sz w:val="24"/>
          <w:highlight w:val="none"/>
        </w:rPr>
        <w:t>4、生效时间：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4CFFE0FC">
      <w:pPr>
        <w:widowControl/>
        <w:tabs>
          <w:tab w:val="left" w:pos="8391"/>
        </w:tabs>
        <w:autoSpaceDE w:val="0"/>
        <w:autoSpaceDN w:val="0"/>
        <w:snapToGrid w:val="0"/>
        <w:spacing w:line="360" w:lineRule="auto"/>
        <w:ind w:right="-69" w:firstLine="840" w:firstLineChars="350"/>
        <w:textAlignment w:val="bottom"/>
        <w:rPr>
          <w:rFonts w:ascii="仿宋" w:hAnsi="仿宋" w:eastAsia="仿宋" w:cs="仿宋"/>
          <w:color w:val="auto"/>
          <w:kern w:val="0"/>
          <w:sz w:val="24"/>
          <w:highlight w:val="none"/>
        </w:rPr>
      </w:pPr>
    </w:p>
    <w:tbl>
      <w:tblPr>
        <w:tblStyle w:val="3"/>
        <w:tblW w:w="0" w:type="auto"/>
        <w:jc w:val="center"/>
        <w:tblLayout w:type="fixed"/>
        <w:tblCellMar>
          <w:top w:w="0" w:type="dxa"/>
          <w:left w:w="108" w:type="dxa"/>
          <w:bottom w:w="0" w:type="dxa"/>
          <w:right w:w="108" w:type="dxa"/>
        </w:tblCellMar>
      </w:tblPr>
      <w:tblGrid>
        <w:gridCol w:w="4643"/>
        <w:gridCol w:w="4643"/>
      </w:tblGrid>
      <w:tr w14:paraId="75E1AE5A">
        <w:tblPrEx>
          <w:tblCellMar>
            <w:top w:w="0" w:type="dxa"/>
            <w:left w:w="108" w:type="dxa"/>
            <w:bottom w:w="0" w:type="dxa"/>
            <w:right w:w="108" w:type="dxa"/>
          </w:tblCellMar>
        </w:tblPrEx>
        <w:trPr>
          <w:jc w:val="center"/>
        </w:trPr>
        <w:tc>
          <w:tcPr>
            <w:tcW w:w="4643" w:type="dxa"/>
          </w:tcPr>
          <w:p w14:paraId="00D82A80">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default" w:ascii="仿宋" w:hAnsi="仿宋" w:eastAsia="仿宋" w:cs="仿宋"/>
                <w:color w:val="auto"/>
                <w:kern w:val="0"/>
                <w:sz w:val="24"/>
                <w:highlight w:val="none"/>
              </w:rPr>
            </w:pPr>
            <w:r>
              <w:rPr>
                <w:rFonts w:hint="eastAsia" w:ascii="仿宋" w:hAnsi="仿宋" w:eastAsia="仿宋" w:cs="仿宋"/>
                <w:color w:val="auto"/>
                <w:kern w:val="0"/>
                <w:sz w:val="24"/>
                <w:highlight w:val="none"/>
              </w:rPr>
              <w:t>甲方名称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7E1746C6">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default"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7CEE6767">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default"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3E337949">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default"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79761D55">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default"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01F8645D">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default" w:ascii="仿宋" w:hAnsi="仿宋" w:eastAsia="仿宋" w:cs="仿宋"/>
                <w:color w:val="auto"/>
                <w:kern w:val="0"/>
                <w:sz w:val="24"/>
                <w:highlight w:val="none"/>
              </w:rPr>
            </w:pPr>
            <w:r>
              <w:rPr>
                <w:rFonts w:hint="eastAsia" w:ascii="仿宋" w:hAnsi="仿宋" w:eastAsia="仿宋" w:cs="仿宋"/>
                <w:color w:val="auto"/>
                <w:kern w:val="0"/>
                <w:sz w:val="24"/>
                <w:highlight w:val="none"/>
              </w:rPr>
              <w:t>账号：</w:t>
            </w:r>
          </w:p>
        </w:tc>
        <w:tc>
          <w:tcPr>
            <w:tcW w:w="4643" w:type="dxa"/>
          </w:tcPr>
          <w:p w14:paraId="719E5909">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default" w:ascii="仿宋" w:hAnsi="仿宋" w:eastAsia="仿宋" w:cs="仿宋"/>
                <w:color w:val="auto"/>
                <w:kern w:val="0"/>
                <w:sz w:val="24"/>
                <w:highlight w:val="none"/>
              </w:rPr>
            </w:pPr>
            <w:r>
              <w:rPr>
                <w:rFonts w:hint="eastAsia" w:ascii="仿宋" w:hAnsi="仿宋" w:eastAsia="仿宋" w:cs="仿宋"/>
                <w:color w:val="auto"/>
                <w:kern w:val="0"/>
                <w:sz w:val="24"/>
                <w:highlight w:val="none"/>
              </w:rPr>
              <w:t>乙方名称</w:t>
            </w:r>
            <w:r>
              <w:rPr>
                <w:rFonts w:hint="eastAsia" w:ascii="仿宋" w:hAnsi="仿宋" w:eastAsia="仿宋" w:cs="仿宋"/>
                <w:color w:val="auto"/>
                <w:spacing w:val="-20"/>
                <w:kern w:val="0"/>
                <w:sz w:val="24"/>
                <w:highlight w:val="none"/>
              </w:rPr>
              <w:t>（盖章）</w:t>
            </w:r>
            <w:r>
              <w:rPr>
                <w:rFonts w:hint="eastAsia" w:ascii="仿宋" w:hAnsi="仿宋" w:eastAsia="仿宋" w:cs="仿宋"/>
                <w:color w:val="auto"/>
                <w:kern w:val="0"/>
                <w:sz w:val="24"/>
                <w:highlight w:val="none"/>
              </w:rPr>
              <w:t>:</w:t>
            </w:r>
          </w:p>
          <w:p w14:paraId="6466B57E">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default"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p w14:paraId="64557866">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default" w:ascii="仿宋" w:hAnsi="仿宋" w:eastAsia="仿宋" w:cs="仿宋"/>
                <w:color w:val="auto"/>
                <w:kern w:val="0"/>
                <w:sz w:val="24"/>
                <w:highlight w:val="none"/>
              </w:rPr>
            </w:pPr>
            <w:r>
              <w:rPr>
                <w:rFonts w:hint="eastAsia" w:ascii="仿宋" w:hAnsi="仿宋" w:eastAsia="仿宋" w:cs="仿宋"/>
                <w:color w:val="auto"/>
                <w:kern w:val="0"/>
                <w:sz w:val="24"/>
                <w:highlight w:val="none"/>
              </w:rPr>
              <w:t>代表人（签字）：</w:t>
            </w:r>
          </w:p>
          <w:p w14:paraId="5866B8E8">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default"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p w14:paraId="3C235F0C">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default"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p w14:paraId="52A1C56B">
            <w:pPr>
              <w:keepNext w:val="0"/>
              <w:keepLines w:val="0"/>
              <w:widowControl/>
              <w:suppressLineNumbers w:val="0"/>
              <w:autoSpaceDE w:val="0"/>
              <w:autoSpaceDN w:val="0"/>
              <w:snapToGrid w:val="0"/>
              <w:spacing w:before="0" w:beforeAutospacing="0" w:after="0" w:afterAutospacing="0" w:line="360" w:lineRule="auto"/>
              <w:ind w:left="0" w:right="-154"/>
              <w:textAlignment w:val="bottom"/>
              <w:rPr>
                <w:rFonts w:hint="default" w:ascii="仿宋" w:hAnsi="仿宋" w:eastAsia="仿宋" w:cs="仿宋"/>
                <w:color w:val="auto"/>
                <w:kern w:val="0"/>
                <w:sz w:val="24"/>
                <w:highlight w:val="none"/>
              </w:rPr>
            </w:pPr>
            <w:r>
              <w:rPr>
                <w:rFonts w:hint="eastAsia" w:ascii="仿宋" w:hAnsi="仿宋" w:eastAsia="仿宋" w:cs="仿宋"/>
                <w:color w:val="auto"/>
                <w:kern w:val="0"/>
                <w:sz w:val="24"/>
                <w:highlight w:val="none"/>
              </w:rPr>
              <w:t>账号：</w:t>
            </w:r>
          </w:p>
        </w:tc>
      </w:tr>
    </w:tbl>
    <w:p w14:paraId="6CDD6C7B">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D17CC6"/>
    <w:rsid w:val="37750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1618</Words>
  <Characters>1660</Characters>
  <Lines>0</Lines>
  <Paragraphs>0</Paragraphs>
  <TotalTime>0</TotalTime>
  <ScaleCrop>false</ScaleCrop>
  <LinksUpToDate>false</LinksUpToDate>
  <CharactersWithSpaces>1711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2025-05-22T09:21:00Z</dcterms:created>
  <dc:creator>HP</dc:creator>
  <cp:lastModifiedBy>钟玉艳</cp:lastModifiedBy>
  <dcterms:modified xsi:type="dcterms:W3CDTF">2025-05-22T10:08:53Z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eyJoZGlkIjoiYzI5ZmM3ZTRjNzNmYjlhOGQ1NzY4ZTk1NTg5ZDYxNDMiLCJ1c2VySWQiOiIzMzYwMzQ1MTgifQ==</vt:lpwstr>
  </property>
  <property fmtid="{D5CDD505-2E9C-101B-9397-08002B2CF9AE}" pid="4" name="ICV">
    <vt:lpwstr>5305D43008FA48FAA77B540C52431B15_12</vt:lpwstr>
  </property>
</Properties>
</file>