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版本号：SZB-2025-001-1520250522001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生态环境改善宣传及警示项目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SZB-2025-001-15</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生态环境改善宣传及警示项目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生态环境改善宣传及警示项目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贯彻落实省委、省政府和生态环境部各项决策部署，根据不同时节、工作重心，明确每季度主题、暗访侧重点，组织实施暗访及拍摄每季度全省生态环境警示片。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采购包1（生态环境改善宣传及警示项目）：属于专门面向中小企业采购。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2、财务状况报告：提供经审计的2023年度或2024年度的财务报告或提供开标日期前六个月内其基本账户开户银行出具的资信证明；其他组织和自然人提供银行出具的资信证明或财务报表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3、税收缴纳证明：提供已缴纳的本年度或上年度任一月份的缴税凭证。依法免税的供应商应提供相关文件证明</w:t>
      </w:r>
    </w:p>
    <w:p>
      <w:pPr>
        <w:pStyle w:val="null3"/>
      </w:pPr>
      <w:r>
        <w:rPr>
          <w:rFonts w:ascii="仿宋_GB2312" w:hAnsi="仿宋_GB2312" w:cs="仿宋_GB2312" w:eastAsia="仿宋_GB2312"/>
        </w:rPr>
        <w:t>4、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5、信用记录：参加本次政府采购活动前3年内在经营活动中没有重大违纪，以及未被列入失信被执行人、重大税收 违法案件当事人名单、政府采购严重违法失信行为记录名单</w:t>
      </w:r>
    </w:p>
    <w:p>
      <w:pPr>
        <w:pStyle w:val="null3"/>
      </w:pPr>
      <w:r>
        <w:rPr>
          <w:rFonts w:ascii="仿宋_GB2312" w:hAnsi="仿宋_GB2312" w:cs="仿宋_GB2312" w:eastAsia="仿宋_GB2312"/>
        </w:rPr>
        <w:t>6、信用主体查询：供应商通过“信用中国”网站(www.creditchina.gov.cn)查询相关主体信用记录，查询时间须在采购 文件发售期至开标截止时间之间，并将网页截图附在响应文件中</w:t>
      </w:r>
    </w:p>
    <w:p>
      <w:pPr>
        <w:pStyle w:val="null3"/>
      </w:pPr>
      <w:r>
        <w:rPr>
          <w:rFonts w:ascii="仿宋_GB2312" w:hAnsi="仿宋_GB2312" w:cs="仿宋_GB2312" w:eastAsia="仿宋_GB2312"/>
        </w:rPr>
        <w:t>7、书面声明：具有履行合同所必需的专业技术和行业组织协调能力的承诺函</w:t>
      </w:r>
    </w:p>
    <w:p>
      <w:pPr>
        <w:pStyle w:val="null3"/>
      </w:pPr>
      <w:r>
        <w:rPr>
          <w:rFonts w:ascii="仿宋_GB2312" w:hAnsi="仿宋_GB2312" w:cs="仿宋_GB2312" w:eastAsia="仿宋_GB2312"/>
        </w:rPr>
        <w:t>8、《非联合体不分包投标声明》：本项目不接受联合体投标，不允许分包：供应商提供《非联合体不分包投标声明》，视为独立响应，不分包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陕西省环境保护宣传教育中心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15353239788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代理服务费收费标准：根据《招标代理服务收费管理暂行办法》计价格[2002]1980号文和发改价格[2011]534号下浮10％收取。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联系人：章工</w:t>
      </w:r>
    </w:p>
    <w:p>
      <w:pPr>
        <w:pStyle w:val="null3"/>
      </w:pPr>
      <w:r>
        <w:rPr>
          <w:rFonts w:ascii="仿宋_GB2312" w:hAnsi="仿宋_GB2312" w:cs="仿宋_GB2312" w:eastAsia="仿宋_GB2312"/>
        </w:rPr>
        <w:t>联系电话：15353239788</w:t>
      </w:r>
    </w:p>
    <w:p>
      <w:pPr>
        <w:pStyle w:val="null3"/>
      </w:pPr>
      <w:r>
        <w:rPr>
          <w:rFonts w:ascii="仿宋_GB2312" w:hAnsi="仿宋_GB2312" w:cs="仿宋_GB2312" w:eastAsia="仿宋_GB2312"/>
        </w:rPr>
        <w:t>地址：陕西省西安市雁塔区雁翔路99号交大科技园博源科技广场C座12层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贯彻落实省委、省政府和生态环境部各项决策部署，根据不同时节、工作重心，明确每季度主题、暗访侧重点，组织实施暗访及拍摄每季度全省生态环境警示片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生态环境改善宣传及警示项目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标的名称：生态环境改善宣传及警示项目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以生态文明思想为指导，贯彻落实省委、省政府和生态环境部各项决策部署，根据不同时节、工作重心，明确每季度主题、暗访侧重点，组织实施暗访及拍摄每季度全省生态环境警示片；主要功能或目标:进一步加强大气和水污染防治，强化污染源环境监管，持续改善我省生态环境质量，营造良好的生产生活环境，切实保障群众身体健康形成持续的推动力；需满足的要求:通过项目开展，落实省委省政府的有关要求，及时发现我省在生态文明建设进程中存在的各类点面问题，并促进问题及时得以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本项目不要求缴纳磋商保证金。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 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 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服务及履约能力1</w:t>
            </w:r>
          </w:p>
        </w:tc>
        <w:tc>
          <w:tcPr>
            <w:tcW w:type="dxa" w:w="2492"/>
          </w:tcPr>
          <w:p>
            <w:pPr>
              <w:pStyle w:val="null3"/>
            </w:pPr>
            <w:r>
              <w:rPr>
                <w:rFonts w:ascii="仿宋_GB2312" w:hAnsi="仿宋_GB2312" w:cs="仿宋_GB2312" w:eastAsia="仿宋_GB2312"/>
              </w:rPr>
              <w:t>1.根据现行的企业日常管理的团队健全程度和 业务管理制度进行评分，具有履行合同所必须的专业技术团队，按其响应程度计10-0分。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服务及履约能力2</w:t>
            </w:r>
          </w:p>
        </w:tc>
        <w:tc>
          <w:tcPr>
            <w:tcW w:type="dxa" w:w="2492"/>
          </w:tcPr>
          <w:p>
            <w:pPr>
              <w:pStyle w:val="null3"/>
            </w:pPr>
            <w:r>
              <w:rPr>
                <w:rFonts w:ascii="仿宋_GB2312" w:hAnsi="仿宋_GB2312" w:cs="仿宋_GB2312" w:eastAsia="仿宋_GB2312"/>
              </w:rPr>
              <w:t>2.根据供应商的服务机制、管理制度、工作流程、服务保障以及服务措施是否完善、是否能够充分保证达到项目实施目的。由磋商小组根据响应情况赋10-0分。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技术要求1</w:t>
            </w:r>
          </w:p>
        </w:tc>
        <w:tc>
          <w:tcPr>
            <w:tcW w:type="dxa" w:w="2492"/>
          </w:tcPr>
          <w:p>
            <w:pPr>
              <w:pStyle w:val="null3"/>
            </w:pPr>
            <w:r>
              <w:rPr>
                <w:rFonts w:ascii="仿宋_GB2312" w:hAnsi="仿宋_GB2312" w:cs="仿宋_GB2312" w:eastAsia="仿宋_GB2312"/>
              </w:rPr>
              <w:t>针对本项目的理解，提供具体实施方案，方案切合实际，针对性强，可行性强 ，（包含服务流程、人员安排、时间安排等）进行综合评定，优秀在20-15分范围内评分、良好在15-8 分范围内评分、一般在8-0分范围内评分。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技术要求2</w:t>
            </w:r>
          </w:p>
        </w:tc>
        <w:tc>
          <w:tcPr>
            <w:tcW w:type="dxa" w:w="2492"/>
          </w:tcPr>
          <w:p>
            <w:pPr>
              <w:pStyle w:val="null3"/>
            </w:pPr>
            <w:r>
              <w:rPr>
                <w:rFonts w:ascii="仿宋_GB2312" w:hAnsi="仿宋_GB2312" w:cs="仿宋_GB2312" w:eastAsia="仿宋_GB2312"/>
              </w:rPr>
              <w:t>根据供应商对“磋商内容及要求”的响应程度评分。根据响应程度优良计15-10分，一般计10-5分，差计 5-0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技术要求3</w:t>
            </w:r>
          </w:p>
        </w:tc>
        <w:tc>
          <w:tcPr>
            <w:tcW w:type="dxa" w:w="2492"/>
          </w:tcPr>
          <w:p>
            <w:pPr>
              <w:pStyle w:val="null3"/>
            </w:pPr>
            <w:r>
              <w:rPr>
                <w:rFonts w:ascii="仿宋_GB2312" w:hAnsi="仿宋_GB2312" w:cs="仿宋_GB2312" w:eastAsia="仿宋_GB2312"/>
              </w:rPr>
              <w:t>根据对供应商项目实施方案的进度控制措施、质量控制措施等进行综合分析比较评分，得分10-0分。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技术要求4</w:t>
            </w:r>
          </w:p>
        </w:tc>
        <w:tc>
          <w:tcPr>
            <w:tcW w:type="dxa" w:w="2492"/>
          </w:tcPr>
          <w:p>
            <w:pPr>
              <w:pStyle w:val="null3"/>
            </w:pPr>
            <w:r>
              <w:rPr>
                <w:rFonts w:ascii="仿宋_GB2312" w:hAnsi="仿宋_GB2312" w:cs="仿宋_GB2312" w:eastAsia="仿宋_GB2312"/>
              </w:rPr>
              <w:t>合理化建议具有积极意义，具备可行性，计6-3分；提出合理化建议，但有欠缺，计3-1分，没有合理化建议， 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技术要求5</w:t>
            </w:r>
          </w:p>
        </w:tc>
        <w:tc>
          <w:tcPr>
            <w:tcW w:type="dxa" w:w="2492"/>
          </w:tcPr>
          <w:p>
            <w:pPr>
              <w:pStyle w:val="null3"/>
            </w:pPr>
            <w:r>
              <w:rPr>
                <w:rFonts w:ascii="仿宋_GB2312" w:hAnsi="仿宋_GB2312" w:cs="仿宋_GB2312" w:eastAsia="仿宋_GB2312"/>
              </w:rPr>
              <w:t>制作生态环境宣传品的设计方案，设计方案具有创新性、直观亮眼的展示效果赋10-7分，较为合理赋7-4分，一般赋4-0。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2022年至今从事过类似相关业绩，一个得3分，最多9 分。业绩证明（以合同或者中标通知书为准，须在响应文件中附扫描件加盖单位公章，弄虚作假者取消其磋商资格）。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