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版本号：CCZB（2025）ZC-012420250522001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陕西省交通运输科技咨询技术服务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CCZB（2025）ZC-0124</w:t>
      </w:r>
      <w:r>
        <w:br/>
      </w:r>
      <w:r>
        <w:br/>
      </w:r>
      <w:r>
        <w:br/>
      </w:r>
    </w:p>
    <w:p>
      <w:pPr>
        <w:pStyle w:val="null3"/>
        <w:jc w:val="center"/>
        <w:outlineLvl w:val="2"/>
      </w:pPr>
      <w:r>
        <w:rPr>
          <w:rFonts w:ascii="仿宋_GB2312" w:hAnsi="仿宋_GB2312" w:cs="仿宋_GB2312" w:eastAsia="仿宋_GB2312"/>
          <w:sz w:val="28"/>
          <w:b/>
        </w:rPr>
        <w:t>陕西省公路局</w:t>
      </w:r>
    </w:p>
    <w:p>
      <w:pPr>
        <w:pStyle w:val="null3"/>
        <w:jc w:val="center"/>
        <w:outlineLvl w:val="2"/>
      </w:pPr>
      <w:r>
        <w:rPr>
          <w:rFonts w:ascii="仿宋_GB2312" w:hAnsi="仿宋_GB2312" w:cs="仿宋_GB2312" w:eastAsia="仿宋_GB2312"/>
          <w:sz w:val="28"/>
          <w:b/>
        </w:rPr>
        <w:t>陕西诚采招标有限责任公司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陕西诚采招标有限责任公司</w:t>
      </w:r>
      <w:r>
        <w:rPr>
          <w:rFonts w:ascii="仿宋_GB2312" w:hAnsi="仿宋_GB2312" w:cs="仿宋_GB2312" w:eastAsia="仿宋_GB2312"/>
        </w:rPr>
        <w:t>（以下简称“代理机构”）受</w:t>
      </w:r>
      <w:r>
        <w:rPr>
          <w:rFonts w:ascii="仿宋_GB2312" w:hAnsi="仿宋_GB2312" w:cs="仿宋_GB2312" w:eastAsia="仿宋_GB2312"/>
        </w:rPr>
        <w:t>陕西省公路局</w:t>
      </w:r>
      <w:r>
        <w:rPr>
          <w:rFonts w:ascii="仿宋_GB2312" w:hAnsi="仿宋_GB2312" w:cs="仿宋_GB2312" w:eastAsia="仿宋_GB2312"/>
        </w:rPr>
        <w:t>委托，拟对</w:t>
      </w:r>
      <w:r>
        <w:rPr>
          <w:rFonts w:ascii="仿宋_GB2312" w:hAnsi="仿宋_GB2312" w:cs="仿宋_GB2312" w:eastAsia="仿宋_GB2312"/>
        </w:rPr>
        <w:t>陕西省交通运输科技咨询技术服务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CCZB（2025）ZC-0124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陕西省交通运输科技咨询技术服务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陕西省交通运输科技咨询技术服务。详见竞争性磋商文件第三部分磋商要求及说明.</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2、社会保障资金缴纳证明：提供开标前六个月内任意时段已缴存的社会保障资金缴存单据或社保机构开具的社会保险参保缴费情况证明；依法不需要缴纳社会保障资金的应提供相关文件证明；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3、税收缴纳证明：提供开标前六个月内任意时段已缴纳的完税凭证或税务机关开具的完税证明（任意税种）；依法免税的应提供相关文件证明，零纳税的提供申报表；</w:t>
      </w:r>
    </w:p>
    <w:p>
      <w:pPr>
        <w:pStyle w:val="null3"/>
      </w:pPr>
      <w:r>
        <w:rPr>
          <w:rFonts w:ascii="仿宋_GB2312" w:hAnsi="仿宋_GB2312" w:cs="仿宋_GB2312" w:eastAsia="仿宋_GB2312"/>
        </w:rPr>
        <w:t>4、财务状况证明：提供2023年或2024年至投标截止时间止任意年度经审计的财务会计报告（包括审计报告、资产负债表、利润表、现金流量表、所有者权益变动表及其附注），成立时间至提交投标文件截止时间不足一年的可提供成立后任意时段的资产负债表或其开标前6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5、违纪失信：参加政府采购活动前3年内，在经营活动中没有重大违法记录的书面声明，以及未被列入失信被执行人、重大税收违法案件当事人名单、政府采购严重违法失信行为记录名单（处罚决定规定的时间和地域范围内）；</w:t>
      </w:r>
    </w:p>
    <w:p>
      <w:pPr>
        <w:pStyle w:val="null3"/>
      </w:pPr>
      <w:r>
        <w:rPr>
          <w:rFonts w:ascii="仿宋_GB2312" w:hAnsi="仿宋_GB2312" w:cs="仿宋_GB2312" w:eastAsia="仿宋_GB2312"/>
        </w:rPr>
        <w:t>6、具有履行合同所必需的设备和专业技术能力：具备履行合同所必需的设备和专业技术能力的承诺；</w:t>
      </w:r>
    </w:p>
    <w:p>
      <w:pPr>
        <w:pStyle w:val="null3"/>
      </w:pPr>
      <w:r>
        <w:rPr>
          <w:rFonts w:ascii="仿宋_GB2312" w:hAnsi="仿宋_GB2312" w:cs="仿宋_GB2312" w:eastAsia="仿宋_GB2312"/>
        </w:rPr>
        <w:t>7、法定代表人或授权代表委托书：法定代表人直接参加磋商的，须出具法人身份证并与营业执照上信息一致；法定代表人授权代表参加磋商的，须出具法定代表人授权书、授权代表身份证以及被授权人有效的劳动合同或者截止开标前六个月内任意一个月本单位社保缴纳证明；</w:t>
      </w:r>
    </w:p>
    <w:p>
      <w:pPr>
        <w:pStyle w:val="null3"/>
      </w:pPr>
      <w:r>
        <w:rPr>
          <w:rFonts w:ascii="仿宋_GB2312" w:hAnsi="仿宋_GB2312" w:cs="仿宋_GB2312" w:eastAsia="仿宋_GB2312"/>
        </w:rPr>
        <w:t>8、企业关联关系声明：单位负责人为同一人或者存在直接控股、管理关系的不同供应商，不得同时参加本项目采购活动；</w:t>
      </w:r>
    </w:p>
    <w:p>
      <w:pPr>
        <w:pStyle w:val="null3"/>
      </w:pPr>
      <w:r>
        <w:rPr>
          <w:rFonts w:ascii="仿宋_GB2312" w:hAnsi="仿宋_GB2312" w:cs="仿宋_GB2312" w:eastAsia="仿宋_GB2312"/>
        </w:rPr>
        <w:t>9、非联合体声明：本项目不接受联合体投标，供应商提供非联合体书面声明；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陕西省公路局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西安市含光北路110号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王惠</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029-88408559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陕西诚采招标有限责任公司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雁塔区雁翔路与南三环交汇处东北角旺座曲江F座1601室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吴浩强、岳迁迁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029-81215580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开户名称：陕西诚采招标有限责任公司</w:t>
            </w:r>
          </w:p>
          <w:p>
            <w:pPr>
              <w:pStyle w:val="null3"/>
            </w:pPr>
            <w:r>
              <w:rPr>
                <w:rFonts w:ascii="仿宋_GB2312" w:hAnsi="仿宋_GB2312" w:cs="仿宋_GB2312" w:eastAsia="仿宋_GB2312"/>
              </w:rPr>
              <w:t>开户银行：中国建设银行股份有限公司西安玉祥门支行</w:t>
            </w:r>
          </w:p>
          <w:p>
            <w:pPr>
              <w:pStyle w:val="null3"/>
            </w:pPr>
            <w:r>
              <w:rPr>
                <w:rFonts w:ascii="仿宋_GB2312" w:hAnsi="仿宋_GB2312" w:cs="仿宋_GB2312" w:eastAsia="仿宋_GB2312"/>
              </w:rPr>
              <w:t>银行账号：6105 0174 4000 0000 0461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说明：1.本采购包履约保证金为5%签约合同价，有效期自甲乙双方签订合同生效之日起至项目验收通过后的 15 日内。 2.提交时间：乙方应当在合同签订的7日内，按照合同金额的5%作为履约保证金交付给甲方。 3.退还方式：保证期后甲方根据乙方合同履行情况，按照合同相关约定无息退还履约保证金给乙方。</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代理服务费收费标准：依据陕西省公路局2025年度部分政府采购项目委托代理合同按中标金额*1.2%收取。 成交供应商在领取成交通知书前，须向采购代理机构支付成交服务费。 公司名称：陕西诚采招标有限责任公司 开户行：招商银行股份有限公司西安未央路支行 账号：1299 0858 6010 806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陕西省公路局</w:t>
      </w:r>
      <w:r>
        <w:rPr>
          <w:rFonts w:ascii="仿宋_GB2312" w:hAnsi="仿宋_GB2312" w:cs="仿宋_GB2312" w:eastAsia="仿宋_GB2312"/>
        </w:rPr>
        <w:t>和</w:t>
      </w:r>
      <w:r>
        <w:rPr>
          <w:rFonts w:ascii="仿宋_GB2312" w:hAnsi="仿宋_GB2312" w:cs="仿宋_GB2312" w:eastAsia="仿宋_GB2312"/>
        </w:rPr>
        <w:t>陕西诚采招标有限责任公司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陕西省公路局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陕西诚采招标有限责任公司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陕西省公路局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陕西诚采招标有限责任公司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一、验收方式：按照《陕西省公路局政府采购项目履约验收办法》（陕公路办〔2024〕7号）集中组织验收。 二、验收标准：按照合同约定的服务内容进行验收，要求符合交通运输行业相关的标准和规范。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陕西诚采招标有限责任公司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陕西诚采招标有限责任公司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陕西诚采招标有限责任公司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联系人：吴浩强、岳迁迁</w:t>
      </w:r>
    </w:p>
    <w:p>
      <w:pPr>
        <w:pStyle w:val="null3"/>
      </w:pPr>
      <w:r>
        <w:rPr>
          <w:rFonts w:ascii="仿宋_GB2312" w:hAnsi="仿宋_GB2312" w:cs="仿宋_GB2312" w:eastAsia="仿宋_GB2312"/>
        </w:rPr>
        <w:t>联系电话：029-81215580</w:t>
      </w:r>
    </w:p>
    <w:p>
      <w:pPr>
        <w:pStyle w:val="null3"/>
      </w:pPr>
      <w:r>
        <w:rPr>
          <w:rFonts w:ascii="仿宋_GB2312" w:hAnsi="仿宋_GB2312" w:cs="仿宋_GB2312" w:eastAsia="仿宋_GB2312"/>
        </w:rPr>
        <w:t>地址：雁塔区雁翔路与南三环交汇处东北角旺座曲江F座1601室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陕西省交通运输科技咨询技术服务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950,000.00</w:t>
      </w:r>
    </w:p>
    <w:p>
      <w:pPr>
        <w:pStyle w:val="null3"/>
      </w:pPr>
      <w:r>
        <w:rPr>
          <w:rFonts w:ascii="仿宋_GB2312" w:hAnsi="仿宋_GB2312" w:cs="仿宋_GB2312" w:eastAsia="仿宋_GB2312"/>
        </w:rPr>
        <w:t>采购包最高限价（元）: 950,000.00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陕西省交通运输科技咨询技术服务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950,000.00</w:t>
            </w:r>
          </w:p>
        </w:tc>
        <w:tc>
          <w:tcPr>
            <w:tcW w:type="dxa" w:w="831"/>
          </w:tcPr>
          <w:p>
            <w:pPr>
              <w:pStyle w:val="null3"/>
            </w:pPr>
            <w:r>
              <w:rPr>
                <w:rFonts w:ascii="仿宋_GB2312" w:hAnsi="仿宋_GB2312" w:cs="仿宋_GB2312" w:eastAsia="仿宋_GB2312"/>
              </w:rPr>
              <w:t>标段</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标的名称：陕西省交通运输科技咨询技术服务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w:t>
            </w:r>
            <w:r>
              <w:rPr>
                <w:rFonts w:ascii="仿宋_GB2312" w:hAnsi="仿宋_GB2312" w:cs="仿宋_GB2312" w:eastAsia="仿宋_GB2312"/>
              </w:rPr>
              <w:t>针对陕西省交通运输科技的发展趋势，编制年度科技发展报告、年度科技申报指南，组织重大科技交流与科技活动，促进不同单位间的相互交流与合作，加强科技人才库的更新与选拔。</w:t>
            </w:r>
          </w:p>
          <w:p>
            <w:pPr>
              <w:pStyle w:val="null3"/>
            </w:pPr>
            <w:r>
              <w:rPr>
                <w:rFonts w:ascii="仿宋_GB2312" w:hAnsi="仿宋_GB2312" w:cs="仿宋_GB2312" w:eastAsia="仿宋_GB2312"/>
              </w:rPr>
              <w:t>二、</w:t>
            </w:r>
            <w:r>
              <w:rPr>
                <w:rFonts w:ascii="仿宋_GB2312" w:hAnsi="仿宋_GB2312" w:cs="仿宋_GB2312" w:eastAsia="仿宋_GB2312"/>
              </w:rPr>
              <w:t>结合新兴技术在公路领域的发展，以及对交通安全、环境保护等方面的要求，构建科技创新成果库，</w:t>
            </w:r>
            <w:r>
              <w:rPr>
                <w:rFonts w:ascii="仿宋_GB2312" w:hAnsi="仿宋_GB2312" w:cs="仿宋_GB2312" w:eastAsia="仿宋_GB2312"/>
              </w:rPr>
              <w:t>完成</w:t>
            </w:r>
            <w:r>
              <w:rPr>
                <w:rFonts w:ascii="仿宋_GB2312" w:hAnsi="仿宋_GB2312" w:cs="仿宋_GB2312" w:eastAsia="仿宋_GB2312"/>
              </w:rPr>
              <w:t>科技成果汇编，对所有科技成果进行汇编的基础上，进一步完善科技项目档案，提升科技档案应用效率。</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编制《</w:t>
            </w:r>
            <w:r>
              <w:rPr>
                <w:rFonts w:ascii="仿宋_GB2312" w:hAnsi="仿宋_GB2312" w:cs="仿宋_GB2312" w:eastAsia="仿宋_GB2312"/>
                <w:sz w:val="21"/>
              </w:rPr>
              <w:t>2025</w:t>
            </w:r>
            <w:r>
              <w:rPr>
                <w:rFonts w:ascii="仿宋_GB2312" w:hAnsi="仿宋_GB2312" w:cs="仿宋_GB2312" w:eastAsia="仿宋_GB2312"/>
                <w:sz w:val="21"/>
              </w:rPr>
              <w:t>年度陕西省交通运输科技发展报告》《</w:t>
            </w:r>
            <w:r>
              <w:rPr>
                <w:rFonts w:ascii="仿宋_GB2312" w:hAnsi="仿宋_GB2312" w:cs="仿宋_GB2312" w:eastAsia="仿宋_GB2312"/>
                <w:sz w:val="21"/>
              </w:rPr>
              <w:t>2026</w:t>
            </w:r>
            <w:r>
              <w:rPr>
                <w:rFonts w:ascii="仿宋_GB2312" w:hAnsi="仿宋_GB2312" w:cs="仿宋_GB2312" w:eastAsia="仿宋_GB2312"/>
                <w:sz w:val="21"/>
              </w:rPr>
              <w:t>年度科技项目申报指南》</w:t>
            </w:r>
            <w:r>
              <w:rPr>
                <w:rFonts w:ascii="仿宋_GB2312" w:hAnsi="仿宋_GB2312" w:cs="仿宋_GB2312" w:eastAsia="仿宋_GB2312"/>
                <w:sz w:val="21"/>
              </w:rPr>
              <w:t>《</w:t>
            </w:r>
            <w:r>
              <w:rPr>
                <w:rFonts w:ascii="仿宋_GB2312" w:hAnsi="仿宋_GB2312" w:cs="仿宋_GB2312" w:eastAsia="仿宋_GB2312"/>
                <w:sz w:val="21"/>
              </w:rPr>
              <w:t>十五五公路科技发展规划</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2025</w:t>
            </w:r>
            <w:r>
              <w:rPr>
                <w:rFonts w:ascii="仿宋_GB2312" w:hAnsi="仿宋_GB2312" w:cs="仿宋_GB2312" w:eastAsia="仿宋_GB2312"/>
                <w:sz w:val="21"/>
              </w:rPr>
              <w:t>年度科技成果汇编》《科技项目档案完善报告》《科技活动交流汇编》</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合同签订之日起一年内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满足采购人要求，并达到合格标准，详见采购合同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甲方在收到乙方履约保证金及符合甲方要求的全额增值税专用/普通发票后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2025年12月20日前，乙方提交工作总结报告和阶段成果资料，经甲方认可</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一、甲方和乙方双方违约责任遵照本项目磋商文件合同条款的规定。 二、因省财政年度预算拨款等政策要求，甲方向乙方支付全部合同价款不视为双方合同履约结束，乙方仍应按照合同约定，完成全部工作内容，否则将视为乙方存在严重失信行为，甲方将上报省财政厅，将乙方列入信用“黑名单”，并在“中国政府采购网”、“信用中国”等网站公示；同时甲方保留要求乙方退还合同价款、赔偿损失的权利。 三、迟延交付成果：乙方迟延交付工作成果的，应当支付违约金。其中乙方逾期 2个月不交付工作成果的，委托人有权解除合同，乙方应当交还技术资料和样品，返还已付的报酬，支付违约金或者赔偿损失。 四、成果或服务质量缺陷：乙方工作成果、服务质量有缺陷，但委托人同意利用的，乙方应当减收报酬并采取适当补救措施；工作成果、服务质量有严重缺陷，没能解决合同约定的技术问题的，乙方应当免收报酬，支付违约金或者赔偿损失。 五、资料保管不善：乙方对委托人提供的技术资料、样品等因保管不善而造成技术资料、样品灭失、缺少、变质、污染或者损坏的，应当赔偿相应的损失。 六、未及时通知问题：乙方发现委托人提供的技术资料、数据、样品、材料或者工作条件不符合合同约定，但不及时通知委托人的，乙方应承担相应的责任。 七、未采取措施避免损坏：乙方在履行合同期间，发现继续工作对材料、样品、或者设备等有损坏危险，但未及时通知委托人或者未采取适当措施的，乙方应承担相应责任。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3.4.1竞争性磋商项目实行二轮报价，第一次报价后，磋商小组可以变更采购需求中的技术、服务要求以及合同草案条款，二轮报价为最终报价。 3.4.2磋商开始后，出现下列情形之一的，采购代理机构将终止竞争性磋商采购活动，发布项目终止公告并说明原因，重新开展采购活动： （1）因情况变化，不再符合规定的竞争性磋商采购方式适用情形的； （2）出现影响采购公正的违法、违规行为的； （3）在采购过程中符合要求的供应商不足3家的 （不包含政府购买服务项目）； （4）报价未超过采购预算的供应商不足3家的。 （5）因重大变故，采购任务取消的。 3.4.3提交最后报价的供应商为2家时，可以继续进行磋商的情形： （1）市场竞争不充分的科研项目，以及需要扶持的科技成果转化项目； （2）政府购买服务项目（含政府和社会资本项目）。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本项目为非专门面向中小企业的项目，若享受以上政策优惠的企业，提供相应声明函或品目清单范围内产品的有效认证证书。</w:t>
            </w:r>
          </w:p>
        </w:tc>
        <w:tc>
          <w:tcPr>
            <w:tcW w:type="dxa" w:w="3322"/>
          </w:tcPr>
          <w:p>
            <w:pPr>
              <w:pStyle w:val="null3"/>
            </w:pPr>
            <w:r>
              <w:rPr>
                <w:rFonts w:ascii="仿宋_GB2312" w:hAnsi="仿宋_GB2312" w:cs="仿宋_GB2312" w:eastAsia="仿宋_GB2312"/>
              </w:rPr>
              <w:t>合同包1(陕西省交通运输科技咨询技术服务)落实政府采购政策需满足的资格要求如下: 本项目为非专门面向中小企业的项目，若享受以上政策优惠的企业，提供相应声明函或品目清单范围内产品的有效认证证书。 1.1 《关于进一步加大政府采购支持中小企业力度的通知》（财库〔2022〕19号）、《政府采购促进中小企业发展管理办法》（财库〔2020〕46号）、《关于政府采购支持监狱企业发展有关问题的通知》（财库〔2014〕68号）、《关于促进残疾人就业政府采购政策的通知》（财库〔2017〕141号）。 1.2 国务院办公厅《关于建立政府强制采购节能产品制度的通知》（国办发〔2007〕51号）、财政部、国家发改委、生态环境部、市场监督联合印发《关于调整优化节能产品、环境标志产品政府采购执行机制的通知》（财库〔2019〕9号）、《关于印发环境标志产品政府采购品目清单的通知》（财库〔2019〕18号）、《关于印发节能产品政府采购品目清单的通知》（财库〔2019〕19号）。 1.3 《财政部 农业农村部 国家乡村振兴局关于运用政府采购政策支持乡村产业振兴的通知》（财库〔2021〕19号）、《财政部农业农村部国家乡村振兴局 中华全国供销合作总社关于印发&lt;关于深入开展政府采购脱贫地区农副产品工作推进乡村产业振兴的实施意见&gt;的通知》（财库〔2021〕20号）。 1.4 《陕西省财政厅关于加快推进我省中小企业政府采购信用融资工作的通知》（陕财办采〔2020〕15号）、陕西省财政厅关于印发《陕西省中小企业政府采购信用融资办法》（陕财办采〔2018〕23号）。</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供应商应提交的相关资格证明材料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提供开标前六个月内任意时段已缴存的社会保障资金缴存单据或社保机构开具的社会保险参保缴费情况证明；依法不需要缴纳社会保障资金的应提供相关文件证明；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提供开标前六个月内任意时段已缴纳的完税凭证或税务机关开具的完税证明（任意税种）；依法免税的应提供相关文件证明，零纳税的提供申报表；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2023年或2024年至投标截止时间止任意年度经审计的财务会计报告（包括审计报告、资产负债表、利润表、现金流量表、所有者权益变动表及其附注），成立时间至提交投标文件截止时间不足一年的可提供成立后任意时段的资产负债表或其开标前6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违纪失信</w:t>
            </w:r>
          </w:p>
        </w:tc>
        <w:tc>
          <w:tcPr>
            <w:tcW w:type="dxa" w:w="3322"/>
          </w:tcPr>
          <w:p>
            <w:pPr>
              <w:pStyle w:val="null3"/>
            </w:pPr>
            <w:r>
              <w:rPr>
                <w:rFonts w:ascii="仿宋_GB2312" w:hAnsi="仿宋_GB2312" w:cs="仿宋_GB2312" w:eastAsia="仿宋_GB2312"/>
              </w:rPr>
              <w:t>参加政府采购活动前3年内，在经营活动中没有重大违法记录的书面声明，以及未被列入失信被执行人、重大税收违法案件当事人名单、政府采购严重违法失信行为记录名单（处罚决定规定的时间和地域范围内）；</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法定代表人或授权代表委托书</w:t>
            </w:r>
          </w:p>
        </w:tc>
        <w:tc>
          <w:tcPr>
            <w:tcW w:type="dxa" w:w="3322"/>
          </w:tcPr>
          <w:p>
            <w:pPr>
              <w:pStyle w:val="null3"/>
            </w:pPr>
            <w:r>
              <w:rPr>
                <w:rFonts w:ascii="仿宋_GB2312" w:hAnsi="仿宋_GB2312" w:cs="仿宋_GB2312" w:eastAsia="仿宋_GB2312"/>
              </w:rPr>
              <w:t>法定代表人直接参加磋商的，须出具法人身份证并与营业执照上信息一致；法定代表人授权代表参加磋商的，须出具法定代表人授权书、授权代表身份证以及被授权人有效的劳动合同或者截止开标前六个月内任意一个月本单位社保缴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企业关联关系声明</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单位负责人为同一人或者存在直接控股、管理关系的不同供应商，不得同时参加本项目采购活动；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本项目不接受联合体投标，供应商提供非联合体书面声明；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竞争性磋商响应文件是否按竞争性磋商文件要求签署、盖章</w:t>
            </w:r>
          </w:p>
        </w:tc>
        <w:tc>
          <w:tcPr>
            <w:tcW w:type="dxa" w:w="1661"/>
          </w:tcPr>
          <w:p>
            <w:pPr>
              <w:pStyle w:val="null3"/>
            </w:pPr>
            <w:r>
              <w:rPr>
                <w:rFonts w:ascii="仿宋_GB2312" w:hAnsi="仿宋_GB2312" w:cs="仿宋_GB2312" w:eastAsia="仿宋_GB2312"/>
              </w:rPr>
              <w:t>服务内容及服务邀请应答表 合同主要条款偏离表.docx 类似项目情况表.docx 中小企业声明函 商务应答表 供应商应提交的相关资格证明材料 报价表 响应文件封面 残疾人福利性单位声明函 服务方案 拟派项目负责人简历表.docx 标的清单 保证金缴纳凭证.docx 拟派项目组人员一览表.docx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（1）磋商报价表填写符合要求； （2）计量单位、报价货币均符合磋商文件要求； （3）磋商报价未超过采购预算或最高限价 (合格) ，磋商报价超过采购预算或最高限价(不合格 )。</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 （5）不同供应商的响应文件相互混混淆； （6）不同投标人的投标保证金从同一单位或者个人的账户转出。</w:t>
            </w:r>
          </w:p>
        </w:tc>
        <w:tc>
          <w:tcPr>
            <w:tcW w:type="dxa" w:w="1661"/>
          </w:tcPr>
          <w:p>
            <w:pPr>
              <w:pStyle w:val="null3"/>
            </w:pPr>
            <w:r>
              <w:rPr>
                <w:rFonts w:ascii="仿宋_GB2312" w:hAnsi="仿宋_GB2312" w:cs="仿宋_GB2312" w:eastAsia="仿宋_GB2312"/>
              </w:rPr>
              <w:t>服务内容及服务邀请应答表 合同主要条款偏离表.docx 类似项目情况表.docx 中小企业声明函 商务应答表 供应商应提交的相关资格证明材料 报价表 响应文件封面 残疾人福利性单位声明函 服务方案 拟派项目负责人简历表.docx 标的清单 保证金缴纳凭证.docx 拟派项目组人员一览表.docx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其他无效情形：无法律、法规和磋商文件规定的其他无效情形；</w:t>
            </w:r>
          </w:p>
        </w:tc>
        <w:tc>
          <w:tcPr>
            <w:tcW w:type="dxa" w:w="3322"/>
          </w:tcPr>
          <w:p>
            <w:pPr>
              <w:pStyle w:val="null3"/>
            </w:pPr>
            <w:r>
              <w:rPr>
                <w:rFonts w:ascii="仿宋_GB2312" w:hAnsi="仿宋_GB2312" w:cs="仿宋_GB2312" w:eastAsia="仿宋_GB2312"/>
              </w:rPr>
              <w:t>（1）响应文件有效期：有效期满足磋商文件要求的；（2）响应文件格式：响应文件按规定的格式填写，内容完；（3）整且关键字迹清晰；（4）备选方案：供应商不得提交两份或者多份内容不同的响应文件；（5）响应报价：在同一份响应文件中对同一磋商项目有两个或者多个报价；（6）响应文件内容：供应商提供的货物无实质性遗漏；（7）技术响应：符合“采购需求”要求，无重大偏差；（8）服务期和服务地点 满足磋商文件要求；（9）付款方式：磋商文件不允许偏差时，响应文件无负偏差；（10）对磋商文件响应程度：应符合磋商文件实质性要求的规定。</w:t>
            </w:r>
          </w:p>
        </w:tc>
        <w:tc>
          <w:tcPr>
            <w:tcW w:type="dxa" w:w="1661"/>
          </w:tcPr>
          <w:p>
            <w:pPr>
              <w:pStyle w:val="null3"/>
            </w:pPr>
            <w:r>
              <w:rPr>
                <w:rFonts w:ascii="仿宋_GB2312" w:hAnsi="仿宋_GB2312" w:cs="仿宋_GB2312" w:eastAsia="仿宋_GB2312"/>
              </w:rPr>
              <w:t>服务内容及服务邀请应答表 合同主要条款偏离表.docx 中小企业声明函 商务应答表 供应商应提交的相关资格证明材料 报价表 响应文件封面 残疾人福利性单位声明函 服务方案 标的清单 保证金缴纳凭证.docx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按规定缴纳投标保证金的(合格)， 未缴纳投标保证金或保证金缴纳少于招标文件要求(不合格)</w:t>
            </w:r>
          </w:p>
        </w:tc>
        <w:tc>
          <w:tcPr>
            <w:tcW w:type="dxa" w:w="1661"/>
          </w:tcPr>
          <w:p>
            <w:pPr>
              <w:pStyle w:val="null3"/>
            </w:pPr>
            <w:r>
              <w:rPr>
                <w:rFonts w:ascii="仿宋_GB2312" w:hAnsi="仿宋_GB2312" w:cs="仿宋_GB2312" w:eastAsia="仿宋_GB2312"/>
              </w:rPr>
              <w:t>保证金缴纳凭证.docx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服务要求响应程度</w:t>
            </w:r>
          </w:p>
        </w:tc>
        <w:tc>
          <w:tcPr>
            <w:tcW w:type="dxa" w:w="2492"/>
          </w:tcPr>
          <w:p>
            <w:pPr>
              <w:pStyle w:val="null3"/>
            </w:pPr>
            <w:r>
              <w:rPr>
                <w:rFonts w:ascii="仿宋_GB2312" w:hAnsi="仿宋_GB2312" w:cs="仿宋_GB2312" w:eastAsia="仿宋_GB2312"/>
              </w:rPr>
              <w:t>一、评审内容 根据供应商针对竞争性磋商文件“第八章 商务及合同主要条款”表中的内容响应情况进行评审。 二、赋分标准 “合同主要条款”表中内容响应情况：完全响应得12分，每少1项扣2分，扣完为止。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合同主要条款偏离表.docx</w:t>
            </w:r>
          </w:p>
        </w:tc>
      </w:tr>
      <w:tr>
        <w:tc>
          <w:tcPr>
            <w:tcW w:type="dxa" w:w="831"/>
            <w:vMerge/>
          </w:tcPr>
          <w:p/>
        </w:tc>
        <w:tc>
          <w:tcPr>
            <w:tcW w:type="dxa" w:w="1661"/>
          </w:tcPr>
          <w:p>
            <w:pPr>
              <w:pStyle w:val="null3"/>
            </w:pPr>
            <w:r>
              <w:rPr>
                <w:rFonts w:ascii="仿宋_GB2312" w:hAnsi="仿宋_GB2312" w:cs="仿宋_GB2312" w:eastAsia="仿宋_GB2312"/>
              </w:rPr>
              <w:t>整体方案</w:t>
            </w:r>
          </w:p>
        </w:tc>
        <w:tc>
          <w:tcPr>
            <w:tcW w:type="dxa" w:w="2492"/>
          </w:tcPr>
          <w:p>
            <w:pPr>
              <w:pStyle w:val="null3"/>
            </w:pPr>
            <w:r>
              <w:rPr>
                <w:rFonts w:ascii="仿宋_GB2312" w:hAnsi="仿宋_GB2312" w:cs="仿宋_GB2312" w:eastAsia="仿宋_GB2312"/>
              </w:rPr>
              <w:t>1、评审内容 供应商针对本项目提供项目整体方案，内容包括：①项目概要；②对本项目的理解与分析；③技术方案；④工作流程。 2、评审标准 ①完整性：方案必须全面，对评审内容中的各项要求又详细描述；②可实施性：切合本项目实际情况，提出步骤清晰、合理的方案；③针对性：方案能够紧扣项目实际情况，内容科学合理。 3、赋分标准 ①项目概要：每满足一个评审标准得2分，满分6分； ②对本项目的理解与分析：每满足一个评审标准得2分，满分6分； ③技术方案：每满足一个评审标准得2分，满分6分； ④工作流程：每满足一个评审标准的2分，满分6分。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合同主要条款偏离表.docx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1、评审内容：供应商对本项目提出合理化建议，内容包括：①本项目工作重难点分析；②对本项目工作重难点提供拟采用的解决方案。 2、评审标准 ①完整性：方案必须全面，对评审内容中的各项要求又详细描述；②可实施性：切合本项目实际情况，提出步骤清晰、合理的方案；③针对性：方案能够紧扣项目实际情况，内容科学合理。 3、赋分标准 ①本项目工作重难点分析：每满足一个评审标准得1分，满分3分； ②对本项目工作重难点提供拟采用的解决方案：每满足一个评审标准得2分，满分6分。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1、评审内容：供应商针对本项目组建项目团队。 2、评审标准：依据团队人员专业能力及经验量化评分。 3、赋分标准： ①项目负责人具备高级技术职称或4年以上科技咨询经验（提供证书或项目合同证明），得4分； ②团队成员中具备中级及以上职称或相关专业资质的，每增加1名得2分，满分6分； ③团队成员参与过省级及以上科技项目（提供合同证明），每提供1个合同证明得2分，满分6分。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拟派项目负责人简历表.docx</w:t>
            </w:r>
          </w:p>
          <w:p>
            <w:pPr>
              <w:pStyle w:val="null3"/>
            </w:pPr>
            <w:r>
              <w:rPr>
                <w:rFonts w:ascii="仿宋_GB2312" w:hAnsi="仿宋_GB2312" w:cs="仿宋_GB2312" w:eastAsia="仿宋_GB2312"/>
              </w:rPr>
              <w:t>拟派项目组人员一览表.docx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1、评审内容：供应商对本项目进行服务承诺。承诺内容包括：①组建不低于5人的专业服务团队；②免费提供不低于一年的专家咨询服务；③提供项目全周期服务保障。 2、评审标准：依据服务承诺书内容进行评分。 3、赋分标准 ①承诺组建不低于5人的专业服务团队，得3分； ②承诺免费提供不低于一年的专家咨询服务，得3分； ③承诺提供项目全周期服务保障，得3分。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合同主要条款偏离表.docx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依据响应文件提供的供应商自2022年1月1日以来相关项目证明材料（以合同复印件为准），每提供一份有效业绩得3分，本项最高得15分。提供相关证明文件复印件加盖公章。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类似项目情况表.docx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磋商价格最低的磋商报价为磋商基准价，其价格分为满分。（因落实政府采购政策进行价格调整的，以调整后的价格计算磋商基准价和磋商报价）其他供应商的价格分按照下列公式计算：磋商报价得分＝（磋商基准价/磋商报价）×价格分值。价格得分四舍五入保留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详见附件：保证金缴纳凭证.docx</w:t>
      </w:r>
    </w:p>
    <w:p>
      <w:pPr>
        <w:pStyle w:val="null3"/>
        <w:ind w:firstLine="960"/>
      </w:pPr>
      <w:r>
        <w:rPr>
          <w:rFonts w:ascii="仿宋_GB2312" w:hAnsi="仿宋_GB2312" w:cs="仿宋_GB2312" w:eastAsia="仿宋_GB2312"/>
        </w:rPr>
        <w:t>详见附件：合同主要条款偏离表.docx</w:t>
      </w:r>
    </w:p>
    <w:p>
      <w:pPr>
        <w:pStyle w:val="null3"/>
        <w:ind w:firstLine="960"/>
      </w:pPr>
      <w:r>
        <w:rPr>
          <w:rFonts w:ascii="仿宋_GB2312" w:hAnsi="仿宋_GB2312" w:cs="仿宋_GB2312" w:eastAsia="仿宋_GB2312"/>
        </w:rPr>
        <w:t>详见附件：类似项目情况表.docx</w:t>
      </w:r>
    </w:p>
    <w:p>
      <w:pPr>
        <w:pStyle w:val="null3"/>
        <w:ind w:firstLine="960"/>
      </w:pPr>
      <w:r>
        <w:rPr>
          <w:rFonts w:ascii="仿宋_GB2312" w:hAnsi="仿宋_GB2312" w:cs="仿宋_GB2312" w:eastAsia="仿宋_GB2312"/>
        </w:rPr>
        <w:t>详见附件：拟派项目负责人简历表.docx</w:t>
      </w:r>
    </w:p>
    <w:p>
      <w:pPr>
        <w:pStyle w:val="null3"/>
        <w:ind w:firstLine="960"/>
      </w:pPr>
      <w:r>
        <w:rPr>
          <w:rFonts w:ascii="仿宋_GB2312" w:hAnsi="仿宋_GB2312" w:cs="仿宋_GB2312" w:eastAsia="仿宋_GB2312"/>
        </w:rPr>
        <w:t>详见附件：拟派项目组人员一览表.docx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