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011C3CAD">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3339EC4D">
      <w:pPr>
        <w:rPr>
          <w:rFonts w:hint="eastAsia" w:ascii="宋体" w:hAnsi="宋体" w:cs="宋体"/>
          <w:kern w:val="0"/>
          <w:szCs w:val="21"/>
        </w:rPr>
      </w:pPr>
      <w:r>
        <w:rPr>
          <w:rFonts w:hint="eastAsia" w:ascii="宋体" w:hAnsi="宋体" w:cs="宋体"/>
          <w:kern w:val="0"/>
          <w:szCs w:val="21"/>
        </w:rPr>
        <w:br w:type="page"/>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23041145">
      <w:pPr>
        <w:widowControl/>
        <w:spacing w:line="360" w:lineRule="auto"/>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4B544618"/>
    <w:rsid w:val="4D2601AC"/>
    <w:rsid w:val="5FDE4B0A"/>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