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版本号：CCZB（2025）ZC-012520250522001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陕西省交通运输行业科技及科普统计调查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CCZB（2025）ZC-0125</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陕西诚采招标有限责任公司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陕西诚采招标有限责任公司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陕西省交通运输行业科技及科普统计调查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CCZB（2025）ZC-0125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陕西省交通运输行业科技及科普统计调查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陕西省交通运输行业科技及科普统计调查。详见竞争性磋商文件第三部分磋商要求及说明。</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3、税收缴纳证明：提供投标截止日前一年内已缴纳的至少一个月的纳税证明或完税证明，依法免税的单位应提供相关证明材料。依法免税或无须缴纳税收的供应商，应提供相应证明文件；</w:t>
      </w:r>
    </w:p>
    <w:p>
      <w:pPr>
        <w:pStyle w:val="null3"/>
      </w:pPr>
      <w:r>
        <w:rPr>
          <w:rFonts w:ascii="仿宋_GB2312" w:hAnsi="仿宋_GB2312" w:cs="仿宋_GB2312" w:eastAsia="仿宋_GB2312"/>
        </w:rPr>
        <w:t>4、财务状况证明：提供2023年或2024年至投标截止时间止任意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及基本存款账户开户许可证，或信用担保机构出具的投标担保函（以上三种形式的资料提供任何一种即可）；</w:t>
      </w:r>
    </w:p>
    <w:p>
      <w:pPr>
        <w:pStyle w:val="null3"/>
      </w:pPr>
      <w:r>
        <w:rPr>
          <w:rFonts w:ascii="仿宋_GB2312" w:hAnsi="仿宋_GB2312" w:cs="仿宋_GB2312" w:eastAsia="仿宋_GB2312"/>
        </w:rPr>
        <w:t>5、违纪失信：参加政府采购活动前3年内，在经营活动中没有重大违法记录的书面声明，以及未被列入失信被执行人、重大税收违法案件当事人名单、政府采购严重违法失信行为记录名单；</w:t>
      </w:r>
    </w:p>
    <w:p>
      <w:pPr>
        <w:pStyle w:val="null3"/>
      </w:pPr>
      <w:r>
        <w:rPr>
          <w:rFonts w:ascii="仿宋_GB2312" w:hAnsi="仿宋_GB2312" w:cs="仿宋_GB2312" w:eastAsia="仿宋_GB2312"/>
        </w:rPr>
        <w:t>6、具有履行合同所必需的设备和专业技术能力：具备履行合同所必需的设备和专业技术能力的承诺；</w:t>
      </w:r>
    </w:p>
    <w:p>
      <w:pPr>
        <w:pStyle w:val="null3"/>
      </w:pPr>
      <w:r>
        <w:rPr>
          <w:rFonts w:ascii="仿宋_GB2312" w:hAnsi="仿宋_GB2312" w:cs="仿宋_GB2312" w:eastAsia="仿宋_GB2312"/>
        </w:rPr>
        <w:t>7、法定代表人或授权代表委托书：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p>
      <w:pPr>
        <w:pStyle w:val="null3"/>
      </w:pPr>
      <w:r>
        <w:rPr>
          <w:rFonts w:ascii="仿宋_GB2312" w:hAnsi="仿宋_GB2312" w:cs="仿宋_GB2312" w:eastAsia="仿宋_GB2312"/>
        </w:rPr>
        <w:t>8、企业关联关系声明：单位负责人为同一人或者存在直接控股、管理关系的不同供应商，不得同时参加本项目采购活动；</w:t>
      </w:r>
    </w:p>
    <w:p>
      <w:pPr>
        <w:pStyle w:val="null3"/>
      </w:pPr>
      <w:r>
        <w:rPr>
          <w:rFonts w:ascii="仿宋_GB2312" w:hAnsi="仿宋_GB2312" w:cs="仿宋_GB2312" w:eastAsia="仿宋_GB2312"/>
        </w:rPr>
        <w:t>9、非联合体声明：本项目不接受联合体投标，供应商提供非联合体书面声明；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王海燕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029-88408473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陕西诚采招标有限责任公司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西安市雁塔区雁翔路与南三环交汇处东北角旺座曲江F座1601室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吴浩强、岳迁迁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029-81215580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开户名称：陕西诚采招标有限责任公司</w:t>
            </w:r>
          </w:p>
          <w:p>
            <w:pPr>
              <w:pStyle w:val="null3"/>
            </w:pPr>
            <w:r>
              <w:rPr>
                <w:rFonts w:ascii="仿宋_GB2312" w:hAnsi="仿宋_GB2312" w:cs="仿宋_GB2312" w:eastAsia="仿宋_GB2312"/>
              </w:rPr>
              <w:t>开户银行：中国建设银行股份有限公司西安玉祥门支行</w:t>
            </w:r>
          </w:p>
          <w:p>
            <w:pPr>
              <w:pStyle w:val="null3"/>
            </w:pPr>
            <w:r>
              <w:rPr>
                <w:rFonts w:ascii="仿宋_GB2312" w:hAnsi="仿宋_GB2312" w:cs="仿宋_GB2312" w:eastAsia="仿宋_GB2312"/>
              </w:rPr>
              <w:t>银行账号：6105 0174 4000 0000 0461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说明：1.提交时间：供应商应当在领取成交通知书后，签订合同前，按照合同金额的5%缴纳履约保证金。 2.退还方式：保证期自甲乙双方签订合同生效之日起至项目验收通过后的15日内，保证期后甲方根据乙方合同履行情况，按照合同相关约定无息退还履约保证金给乙方。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代理服务费收费标准：依据陕西省公路局2025年度部分政府采购项目委托代理合同按中标金额*1.2%收取。 成交供应商在领取成交通知书前，须向采购代理机构支付成交服务费。 公司名称：陕西诚采招标有限责任公司 开户行：招商银行股份有限公司西安未央路支行 账号：1299 0858 6010 806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陕西诚采招标有限责任公司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陕西诚采招标有限责任公司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陕西诚采招标有限责任公司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一、验收方式：按照《陕西省公路局政府采购项目履约验收办法》（陕公路办〔2024〕7号）集中组织验收。 二、验收标准：按照合同约定的服务内容进行验收，要求满足陕西省交通运输行业科技及科普统计调查项目现行的相关技术标准、规范、规程等，完成交通运输部安排的陕西省交通运输行业科技统计调查工作，收集整理各填报单位上报的统计数据，在交通运输企业一套表联网直报系统填报并经审核通过。完成陕西省科技厅安排的陕西省交通运输行业科普统计调查工作，收集整理各填报单位上报的科普数据，在科普统计信息管理系统上报并经审核通过。按照陕西省交通运输厅的有关通知，编制陕西交通年鉴（科技部分）并按时提交。按照陕西省交通运输厅的有关通知，编制陕西科技志（交通运输部分）并按时提交。</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联系人：吴浩强、岳迁迁</w:t>
      </w:r>
    </w:p>
    <w:p>
      <w:pPr>
        <w:pStyle w:val="null3"/>
      </w:pPr>
      <w:r>
        <w:rPr>
          <w:rFonts w:ascii="仿宋_GB2312" w:hAnsi="仿宋_GB2312" w:cs="仿宋_GB2312" w:eastAsia="仿宋_GB2312"/>
        </w:rPr>
        <w:t>联系电话：029-81215580</w:t>
      </w:r>
    </w:p>
    <w:p>
      <w:pPr>
        <w:pStyle w:val="null3"/>
      </w:pPr>
      <w:r>
        <w:rPr>
          <w:rFonts w:ascii="仿宋_GB2312" w:hAnsi="仿宋_GB2312" w:cs="仿宋_GB2312" w:eastAsia="仿宋_GB2312"/>
        </w:rPr>
        <w:t>地址：西安市雁塔区雁翔路与南三环交汇处东北角旺座曲江F座1601室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陕西省交通运输行业科技及科普统计调查。详见竞争性磋商文件第三部分磋商要求及说明。</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陕西省交通运输行业科技及科普统计调查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标的名称：陕西省交通运输行业科技及科普统计调查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rPr>
              <w:t>1.完成交通运输部安排的陕西省交通运输行业科技统计调查工作。科技统计调查内容包括：人员规模、科研条件、经费支出、科技项目、科技成果、国际科技合作与交通行业重点实验室等；组织填报单位进行学习和培训，审核统计数据并完成交通运输企业一套表联网直报系统的填报工作。</w:t>
            </w:r>
          </w:p>
          <w:p>
            <w:pPr>
              <w:pStyle w:val="null3"/>
            </w:pPr>
            <w:r>
              <w:rPr>
                <w:rFonts w:ascii="仿宋_GB2312" w:hAnsi="仿宋_GB2312" w:cs="仿宋_GB2312" w:eastAsia="仿宋_GB2312"/>
              </w:rPr>
              <w:t>2.完成陕西省科技厅安排的陕西省交通运输行业科普统计调查工作。科普统计调查内容包括：统计科普人员、科普场地、科普经费、科普传媒、科普活动以及科学教育等，共六大类156个指标；布置交通行业科普统计调查工作和开展培训；审核填报数据并录入科普统计数据库。</w:t>
            </w:r>
          </w:p>
          <w:p>
            <w:pPr>
              <w:pStyle w:val="null3"/>
            </w:pPr>
            <w:r>
              <w:rPr>
                <w:rFonts w:ascii="仿宋_GB2312" w:hAnsi="仿宋_GB2312" w:cs="仿宋_GB2312" w:eastAsia="仿宋_GB2312"/>
              </w:rPr>
              <w:t>3.负责编制陕西交通年鉴（科技部分）、陕西科技志（交通运输部分）。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一、验收方式：按照《陕西省公路局政府采购项目履约验收办法》（陕公路办〔2024〕7号）集中组织验收。 二、验收标准 按照合同约定的服务内容进行验收，要求满足陕西省交通运输行业科技及科普统计调查项目现行的相关技术标准、规范、规程等，完成交通运输部安排的陕西省交通运输行业科技统计调查工作，收集整理各填报单位上报的统计数据，在交通运输企业一套表联网直报系统填报并经审核通过。完成陕西省科技厅安排的陕西省交通运输行业科普统计调查工作，收集整理各填报单位上报的科普数据，在科普统计信息管理系统上报并经审核通过。按照陕西省交通运输厅的有关通知，编制陕西交通年鉴（科技部分）并按时提交。按照陕西省交通运输厅的有关通知，编制陕西科技志（交通运输部分）并按时提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（1）结算单位：采购人结算，在付款前必须开具全额增值税发票给采购人。 （2）付款方式： 供应商应当在领取成交通知书后，签订合同之前，按照合同金额的 5%作为履约保证金交付给甲方，甲方在收到乙方履约保证金及符合甲方要求的全额增值税专用/普通发票后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2025年12月20日前，乙方提交工作总结报告和阶段成果资料及全额增值税专用/普通发票后，经甲方认可后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一、甲方和乙方双方违约责任遵照本项目磋商文件合同条款的规定。 二、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三、调查延误：乙方未能按照合同约定的时间节点完成各阶段调查任务，如未按时提交调查方案、未在规定期限内完成数据采集等，每逾期一日，应按照合同总金额的1%向委托方支付违约金。若逾期超过10日，委托方有权解除合同，乙方应退还已收取的费用，并按照合同总金额的10%支付违约金，同时赔偿委托方因调查延误而遭受的直接经济损失，如因错过政策制定时机导致的潜在经济损失。 四、数据质量问题：若乙方提供的统计调查数据存在严重错误、数据缺失或数据造假等质量问题，无法满足合同约定的行业统计分析要求，乙方应无偿重新开展调查工作，直至数据符合要求。同时，乙方应按照合同总金额的1% 向委托方支付违约金。若因数据质量问题给委托方造成其他间接损失，如决策失误导致的经济损失，乙方也应承担相应赔偿责任。 五、成果交付不符：乙方交付的统计调查报告、科普宣传方案等成果不符合合同约定的格式、内容深度、专业标准等要求，乙方应在委托方提出异议后的2日内进行修改完善。若经多次修改仍无法达到合同要求，乙方应按照合同总金额的3% 向委托方支付违约金，并退还部分或全部服务费用，具体退还比例根据成果完成情况由双方协商确定。 六、违反保密义务：若乙方对在统计调查过程中知悉的委托方商业秘密、企业敏感数据等保密信息，未能履行保密义务，导致信息泄露，乙方应赔偿委托方因此遭受的全部损失，包括直接损失和间接损失，如因信息泄露导致企业商业信誉受损而造成的业务损失等。同时，乙方应按照合同总金额的10% 向委托方支付违约金。若泄密行为构成犯罪，乙方还应依法承担刑事责任。七、本合同在履行过程中发生的争议，双方当事人以和解或调解方式为主，和解或调解不成的，应向甲方所在地法院诉讼解决。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3.4.1项目绩效指标目标要求 成交供应商在本项目的实施过程中，应实现下列6项绩效指标要求： ①质量指标：按照项目合同内容要求，各项工作达到项目验收合格标准； ②数量指标：与成交供应商签订本项目采购合同1项； ③时效指标：按合同要求期限内完成项目； ④经济效益指标：经济效益指标不超过项目预算总成本数额； ⑤社会效益指标：有效提升陕西省交通运输行业科技统计与科普统计管理水平，为相关管理决策工作提供科学依据； ⑥服务对象满意度指标：服务对象满意度调查不低于90%； 3.4.2.竞争性磋商项目实行二轮报价，第一次报价后，磋商小组可以变更采购需求中的技术、服务要求以及合同草案条款，二轮报价为最终报价。 3.4.3.磋商开始后，出现下列情形之一的，采购代理机构将终止竞争性磋商采购活动，发布项目终止公告并说明原因，重新开展采购活动： （1）因情况变化，不再符合规定的竞争性磋商采购方式适用情形的； （2）出现影响采购公正的违法、违规行为的； （3）在采购过程中符合要求的供应商不足3家的 （不包含政府购买服务项目）； （4）报价未超过采购预算的供应商不足3家的。 （5）因重大变故，采购任务取消的。 3.4.4. 提交最后报价的供应商为2家时，可以继续进行磋商的情形： （1）市场竞争不充分的科研项目，以及需要扶持的科技成果转化项目； （2）政府购买服务项目（含政府和社会资本项目）。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本项目为非专门面向中小企业的项目，若享受以上政策优惠的企业，提供相应声明函或品目清单范围内产品的有效认证证书。</w:t>
            </w:r>
          </w:p>
        </w:tc>
        <w:tc>
          <w:tcPr>
            <w:tcW w:type="dxa" w:w="3322"/>
          </w:tcPr>
          <w:p>
            <w:pPr>
              <w:pStyle w:val="null3"/>
            </w:pPr>
            <w:r>
              <w:rPr>
                <w:rFonts w:ascii="仿宋_GB2312" w:hAnsi="仿宋_GB2312" w:cs="仿宋_GB2312" w:eastAsia="仿宋_GB2312"/>
              </w:rPr>
              <w:t>合同包1(陕西省交通运输行业科技及科普统计调查)落实政府采购政策需满足的资格要求如下: 本项目为非专门面向中小企业的项目，若享受以上政策优惠的企业，提供相应声明函或品目清单范围内产品的有效认证证书。 1.1 《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1.2 国务院办公厅《关于建立政府强制采购节能产品制度的通知》（国办发〔2007〕51号）、财政部、国家发改委、生态环境部、市场监督联合印发《关于调整优化节能产品、环境标志产品政府采购执行机制的通知》（财库〔2019〕9号）、《关于印发环境标志产品政府采购品目清单的通知》（财库〔2019〕18号）、《关于印发节能产品政府采购品目清单的通知》（财库〔2019〕19号）。 1.3 《财政部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1.4 《陕西省财政厅关于加快推进我省中小企业政府采购信用融资工作的通知》（陕财办采〔2020〕15号）、陕西省财政厅关于印发《陕西省中小企业政府采购信用融资办法》（陕财办采〔2018〕23号）。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提供投标截止日前一年内已缴纳的至少一个月的纳税证明或完税证明，依法免税的单位应提供相关证明材料。依法免税或无须缴纳税收的供应商，应提供相应证明文件；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或2024年至投标截止时间止任意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及基本存款账户开户许可证，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违纪失信</w:t>
            </w:r>
          </w:p>
        </w:tc>
        <w:tc>
          <w:tcPr>
            <w:tcW w:type="dxa" w:w="3322"/>
          </w:tcPr>
          <w:p>
            <w:pPr>
              <w:pStyle w:val="null3"/>
            </w:pPr>
            <w:r>
              <w:rPr>
                <w:rFonts w:ascii="仿宋_GB2312" w:hAnsi="仿宋_GB2312" w:cs="仿宋_GB2312" w:eastAsia="仿宋_GB2312"/>
              </w:rPr>
              <w:t>参加政府采购活动前3年内，在经营活动中没有重大违法记录的书面声明，以及未被列入失信被执行人、重大税收违法案件当事人名单、政府采购严重违法失信行为记录名单；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法定代表人或授权代表委托书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本项目不接受联合体投标，供应商提供非联合体书面声明；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竞争性磋商响应文件是否按竞争性磋商文件要求签署、盖章</w:t>
            </w:r>
          </w:p>
        </w:tc>
        <w:tc>
          <w:tcPr>
            <w:tcW w:type="dxa" w:w="1661"/>
          </w:tcPr>
          <w:p>
            <w:pPr>
              <w:pStyle w:val="null3"/>
            </w:pPr>
            <w:r>
              <w:rPr>
                <w:rFonts w:ascii="仿宋_GB2312" w:hAnsi="仿宋_GB2312" w:cs="仿宋_GB2312" w:eastAsia="仿宋_GB2312"/>
              </w:rPr>
              <w:t>服务内容及服务邀请应答表 类似项目情况表.docx 合同主要条款偏离表.docx 中小企业声明函 商务应答表 供应商应提交的相关资格证明材料 报价表 响应文件封面 残疾人福利性单位声明函 服务方案 拟派项目负责人简历表.docx 标的清单 拟派项目组人员一览表.docx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（1）磋商报价表填写符合要求； （2）计量单位、报价货币均符合磋商文件要求； （3）磋商报价未超过采购预算或最高限价 (合格) ，磋商报价超过采购预算或最高限价(不合格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（5）不同供应商的响应文件相互混混淆； （6）不同投标人的投标保证金从同一单位或者个人的账户转出。</w:t>
            </w:r>
          </w:p>
        </w:tc>
        <w:tc>
          <w:tcPr>
            <w:tcW w:type="dxa" w:w="1661"/>
          </w:tcPr>
          <w:p>
            <w:pPr>
              <w:pStyle w:val="null3"/>
            </w:pPr>
            <w:r>
              <w:rPr>
                <w:rFonts w:ascii="仿宋_GB2312" w:hAnsi="仿宋_GB2312" w:cs="仿宋_GB2312" w:eastAsia="仿宋_GB2312"/>
              </w:rPr>
              <w:t>服务内容及服务邀请应答表 类似项目情况表.docx 合同主要条款偏离表.docx 中小企业声明函 商务应答表 供应商应提交的相关资格证明材料 报价表 响应文件封面 残疾人福利性单位声明函 服务方案 拟派项目负责人简历表.docx 标的清单 拟派项目组人员一览表.docx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其他无效情形：无法律、法规和磋商文件规定的其他无效情形；</w:t>
            </w:r>
          </w:p>
        </w:tc>
        <w:tc>
          <w:tcPr>
            <w:tcW w:type="dxa" w:w="3322"/>
          </w:tcPr>
          <w:p>
            <w:pPr>
              <w:pStyle w:val="null3"/>
            </w:pPr>
            <w:r>
              <w:rPr>
                <w:rFonts w:ascii="仿宋_GB2312" w:hAnsi="仿宋_GB2312" w:cs="仿宋_GB2312" w:eastAsia="仿宋_GB2312"/>
              </w:rPr>
              <w:t>（1）响应文件有效期：有效期满足磋商文件要求的；（2）响应文件格式：响应文件按规定的格式填写，内容完；（3）整且关键字迹清晰；（4）备选方案：供应商不得提交两份或者多份内容不同的响应文件；（5）响应报价：在同一份响应文件中对同一磋商项目有两个或者多个报价；（6）响应文件内容：供应商提供的货物无实质性遗漏；（7）技术响应：符合“采购需求”要求，无重大偏差；（8）服务期和服务地点 满足磋商文件要求；（9）付款方式：磋商文件不允许偏差时，响应文件无负偏差；（10）对磋商文件响应程度：应符合磋商文件实质性要求的规定。</w:t>
            </w:r>
          </w:p>
        </w:tc>
        <w:tc>
          <w:tcPr>
            <w:tcW w:type="dxa" w:w="1661"/>
          </w:tcPr>
          <w:p>
            <w:pPr>
              <w:pStyle w:val="null3"/>
            </w:pPr>
            <w:r>
              <w:rPr>
                <w:rFonts w:ascii="仿宋_GB2312" w:hAnsi="仿宋_GB2312" w:cs="仿宋_GB2312" w:eastAsia="仿宋_GB2312"/>
              </w:rPr>
              <w:t>服务内容及服务邀请应答表 类似项目情况表.docx 合同主要条款偏离表.docx 中小企业声明函 商务应答表 供应商应提交的相关资格证明材料 报价表 响应文件封面 残疾人福利性单位声明函 服务方案 拟派项目负责人简历表.docx 标的清单 拟派项目组人员一览表.docx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按规定缴纳投标保证金的(合格)， 未缴纳投标保证金或保证金缴纳少于招标文件要求(不合格)</w:t>
            </w:r>
          </w:p>
        </w:tc>
        <w:tc>
          <w:tcPr>
            <w:tcW w:type="dxa" w:w="1661"/>
          </w:tcPr>
          <w:p>
            <w:pPr>
              <w:pStyle w:val="null3"/>
            </w:pPr>
            <w:r>
              <w:rPr>
                <w:rFonts w:ascii="仿宋_GB2312" w:hAnsi="仿宋_GB2312" w:cs="仿宋_GB2312" w:eastAsia="仿宋_GB2312"/>
              </w:rPr>
              <w:t>保证金缴纳凭证.docx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服务要求响应程度</w:t>
            </w:r>
          </w:p>
        </w:tc>
        <w:tc>
          <w:tcPr>
            <w:tcW w:type="dxa" w:w="2492"/>
          </w:tcPr>
          <w:p>
            <w:pPr>
              <w:pStyle w:val="null3"/>
            </w:pPr>
            <w:r>
              <w:rPr>
                <w:rFonts w:ascii="仿宋_GB2312" w:hAnsi="仿宋_GB2312" w:cs="仿宋_GB2312" w:eastAsia="仿宋_GB2312"/>
              </w:rPr>
              <w:t>一、评审内容 根据供应商针对竞争性磋商文件“第八章 合同主要条款”表中的9项内容响应情况进行评审。 二、赋分标准（满分4.5分） “合同主要条款”表中9项内容响应情况：每完全响应1项内容得0.5分，满分4.5分；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供应商针对本项目编制全面、完整的项目理解，内容包含：①项目目标要求概述②项目实施内容概述③项目风险因素分析。 二、评审标准 1、完整性:项目理解必须全面，对评审内容中的各项要求有详细描述； 2、准确性:项目理解的有关描述必须准确、清晰，避免模糊不清； 3、针对性:项目理解必须紧扣项目实际情况，且目标明确、内容科学合理。 三、赋分标准（满分4.5分） ①项目目标要求概述：每完全满足一个评审标准得0.5分，满分1.5分； ②项目实施内容概述：每完全满足一个评审标准得0.5分，满分1.5分； ③项目风险因素分析：每完全满足一个评审标准得0.5分，满分1.5分。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一、评审内容 供应商针对本项目编制科学合理的整体方案，内容包含：①项目服务内容②实施内容重、难点分析及解决方案③实施流程④团队人员配置⑤项目实施计划。 二、评审标准 1、完整性:方案必须全面，对评审内容中的各项要求有详细描述； 2、可行性:方案必须紧扣本项目实际情况，且步骤清晰、切实可行； 3、针对性:方案必须紧扣本项目实际情况，且目标明确、内容科学合理。 三、赋分标准（满分24分） ①项目服务内容：每完全满足一个评审标准得1.6分，满分4.8分； ②实施内容重、难点分析及解决方案：每完全满足一个评审标准得1.6分，满分4.8分； ③实施流程：每完全满足一个评审标准得1.6分，满分4.8分； ④团队人员配置：每完全满足一个评审标准得1.6分，满分4.8分； ⑤项目实施计划：每完全满足一个评审标准得1.6分，满分4.8分。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三、赋分标准（满分9分） ①数据准确性：每完全满足一个评审标准得1分，满分3分； ②工作效率：每完全满足一个评审标准得1分，满分3分； ③服务质量：每完全满足一个评审标准得1分，满分3分。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供应商针对本项目编制严格履行的服务承诺，内容包含：①服务质量②服务团队③服务售后和信息保密。 二、评审标准 1、完整性:服务承诺必须全面，对评审内容中的各项要求有详细描述； 2、可行性:服务承诺必须紧扣本项目实际情况，且步骤清晰、切实可行； 3、针对性:服务承诺必须紧扣本项目实际情况，且目标明确、内容科学合理。 三、赋分标准（满分9分） ①服务质量：每完全满足一个评审标准得1分，满分3分； ②服务团队：每完全满足一个评审标准得1分，满分3分； ③服务售后和信息保密：每完全满足一个评审标准得1分，满分3分。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供应商针对本项目编制严格规范的服务质量保障措施，内容包含：①质量目标控制办法②工作质量的检验制度③服务评价机制。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三、赋分标准（满分9分） ①质量目标控制办法：每完全满足一个评审标准得1分，满分3分； ②工作质量的检验制度：每完全满足一个评审标准得1分，满分3分； ③服务评价机制：每完全满足一个评审标准得1分，满分3分。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供应商针对本项目配备专业、经验丰富的项目团队，内容包含：团队人员。 二、赋分标准 1.团队人员（项目负责人）须项目经验丰富、技术专业性强，（要求：①本科及以上学历②专业技术资格证书③项目管理相关资格证书），满足①的要求得1分，不提供不得分；满足②的要求得2分，不提供不得分；满足③的要求得1分，不提供不得分；满分4分； 2.团队人员（项目成员）须人员数量充足，工作经验丰富，（要求：①提供大专及以上学历人员证书），每提供完全满足要求的一人得1分，满分6分。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供应商依据响应文件提供近三年（2022年1月至今）内的同类服务业绩（以合同复印件为准），每提供一份有效业绩得5分，本项最高得15分。提供相关证明文件复印件加盖公章。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因落实政府采购政策进行价格调整的，以调整后的价格计算磋商基准价和磋商报价）其他供应商的价格分按照下列公式计算：磋商报价得分＝（磋商基准价/磋商报价）×价格分值。价格得分四舍五入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详见附件：类似项目情况表.docx</w:t>
      </w:r>
    </w:p>
    <w:p>
      <w:pPr>
        <w:pStyle w:val="null3"/>
        <w:ind w:firstLine="960"/>
      </w:pPr>
      <w:r>
        <w:rPr>
          <w:rFonts w:ascii="仿宋_GB2312" w:hAnsi="仿宋_GB2312" w:cs="仿宋_GB2312" w:eastAsia="仿宋_GB2312"/>
        </w:rPr>
        <w:t>详见附件：拟派项目负责人简历表.docx</w:t>
      </w:r>
    </w:p>
    <w:p>
      <w:pPr>
        <w:pStyle w:val="null3"/>
        <w:ind w:firstLine="960"/>
      </w:pPr>
      <w:r>
        <w:rPr>
          <w:rFonts w:ascii="仿宋_GB2312" w:hAnsi="仿宋_GB2312" w:cs="仿宋_GB2312" w:eastAsia="仿宋_GB2312"/>
        </w:rPr>
        <w:t>详见附件：拟派项目组人员一览表.docx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