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版本号：GCZB2025-05-077-L20250523001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2025年教职工体检项目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GCZB2025-05-077-L</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2025年教职工体检项目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GCZB2025-05-077-L</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2025年教职工体检项目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西安航空职业技术学院2025年教职工体检项目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采购包1（2025年教职工体检项目）：属于专门面向中小企业采购。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第三方会计事务所审计过的财务报告，或响应文件递交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社保缴纳证明：提供响应文件递交截止时间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4、税收缴纳证明：提供响应文件递交截止时间前6个月内至少一个月依法纳税的相关凭证(税种至少为增值税或企业所得税中的一种)。注：依法免税的应提供说明，无须缴纳税收的应 提供说明以及6个月内的纳税凭证，零报税的提供申报成功的凭证；成立不足一个月的提供将依法纳税的承诺书（格式自拟）；时间以税款所属时段为准；</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6、具有履行合同所必须的设备和专业技术能力：具有履行合同所必须的设备和专业技术能力的说明及承诺；</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8、特殊资质：供应商需具有地方区县级以上卫生行政部门批准颁发的执业许可证，具有卫生行政部门核准登记取得的《放射诊疗许可证》；</w:t>
      </w:r>
    </w:p>
    <w:p>
      <w:pPr>
        <w:pStyle w:val="null3"/>
      </w:pPr>
      <w:r>
        <w:rPr>
          <w:rFonts w:ascii="仿宋_GB2312" w:hAnsi="仿宋_GB2312" w:cs="仿宋_GB2312" w:eastAsia="仿宋_GB2312"/>
        </w:rPr>
        <w:t>9、中小企业声明函：本采购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10、直接控股、管理关系：单位负责人为同一人或存在直接控股、管理关系的不同单位，不得同时参加本项目投标活动。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029-86855886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邮编：（549470923@qq.com）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西安航空职业技术学院现拟采购2025年教职工体检服务，预计体检人数为1000人，人均预算600元。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体检服务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1、项目名称：</w:t>
            </w:r>
            <w:r>
              <w:rPr>
                <w:rFonts w:ascii="仿宋_GB2312" w:hAnsi="仿宋_GB2312" w:cs="仿宋_GB2312" w:eastAsia="仿宋_GB2312"/>
                <w:sz w:val="24"/>
              </w:rPr>
              <w:t>西安航空职业技术学院</w:t>
            </w:r>
            <w:r>
              <w:rPr>
                <w:rFonts w:ascii="仿宋_GB2312" w:hAnsi="仿宋_GB2312" w:cs="仿宋_GB2312" w:eastAsia="仿宋_GB2312"/>
                <w:sz w:val="24"/>
              </w:rPr>
              <w:t>2025年教职工体检项目</w:t>
            </w:r>
          </w:p>
          <w:p>
            <w:pPr>
              <w:pStyle w:val="null3"/>
              <w:jc w:val="both"/>
            </w:pPr>
            <w:r>
              <w:rPr>
                <w:rFonts w:ascii="仿宋_GB2312" w:hAnsi="仿宋_GB2312" w:cs="仿宋_GB2312" w:eastAsia="仿宋_GB2312"/>
                <w:sz w:val="24"/>
              </w:rPr>
              <w:t>2、服务期：一年</w:t>
            </w:r>
          </w:p>
          <w:p>
            <w:pPr>
              <w:pStyle w:val="null3"/>
              <w:jc w:val="both"/>
            </w:pPr>
            <w:r>
              <w:rPr>
                <w:rFonts w:ascii="仿宋_GB2312" w:hAnsi="仿宋_GB2312" w:cs="仿宋_GB2312" w:eastAsia="仿宋_GB2312"/>
                <w:sz w:val="24"/>
              </w:rPr>
              <w:t>3、服务地点：采购人指定地点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1、由乙方根据甲方教职工工作性质，制定出此次体检方案（费用为600元）及方案外的体检项目。基础体检方案的制定分男、女两类体检项目组合。</w:t>
            </w:r>
          </w:p>
          <w:p>
            <w:pPr>
              <w:pStyle w:val="null3"/>
              <w:jc w:val="both"/>
            </w:pPr>
            <w:r>
              <w:rPr>
                <w:rFonts w:ascii="仿宋_GB2312" w:hAnsi="仿宋_GB2312" w:cs="仿宋_GB2312" w:eastAsia="仿宋_GB2312"/>
                <w:sz w:val="24"/>
              </w:rPr>
              <w:t>2、基础体检方案可参考甲方提供的附件1《基础体检项目参考表》”，进行选择制定。</w:t>
            </w:r>
            <w:r>
              <w:br/>
            </w:r>
            <w:r>
              <w:rPr>
                <w:rFonts w:ascii="仿宋_GB2312" w:hAnsi="仿宋_GB2312" w:cs="仿宋_GB2312" w:eastAsia="仿宋_GB2312"/>
                <w:sz w:val="24"/>
              </w:rPr>
              <w:t>3、方案外的增项体检项目须在响应文件中报价，成交后教职工若需要体检增项内容，则按本项目成交折扣打折，增项体检价格以折扣后价格收费。</w:t>
            </w:r>
          </w:p>
          <w:p>
            <w:pPr>
              <w:pStyle w:val="null3"/>
              <w:jc w:val="both"/>
            </w:pPr>
            <w:r>
              <w:rPr>
                <w:rFonts w:ascii="仿宋_GB2312" w:hAnsi="仿宋_GB2312" w:cs="仿宋_GB2312" w:eastAsia="仿宋_GB2312"/>
                <w:sz w:val="24"/>
              </w:rPr>
              <w:t>4、供应商需在响应文件中执业范围内的职业地点安排我校教职工体检项目，不得转包或私自更换体检地点。（严禁转包）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 xml:space="preserve">1、体检地点：由供应商确定，若体检地点在阎良区以外，需供应商负责提供车辆接送（交通安全由供应商负责），提供早餐。           </w:t>
            </w:r>
          </w:p>
          <w:p>
            <w:pPr>
              <w:pStyle w:val="null3"/>
              <w:jc w:val="both"/>
            </w:pPr>
            <w:r>
              <w:rPr>
                <w:rFonts w:ascii="仿宋_GB2312" w:hAnsi="仿宋_GB2312" w:cs="仿宋_GB2312" w:eastAsia="仿宋_GB2312"/>
                <w:sz w:val="24"/>
              </w:rPr>
              <w:t>2、体检时间为：</w:t>
            </w:r>
            <w:r>
              <w:rPr>
                <w:rFonts w:ascii="仿宋_GB2312" w:hAnsi="仿宋_GB2312" w:cs="仿宋_GB2312" w:eastAsia="仿宋_GB2312"/>
                <w:sz w:val="24"/>
              </w:rPr>
              <w:t>开始时间由双方签订合同起，具体时间甲方确定，</w:t>
            </w:r>
            <w:r>
              <w:rPr>
                <w:rFonts w:ascii="仿宋_GB2312" w:hAnsi="仿宋_GB2312" w:cs="仿宋_GB2312" w:eastAsia="仿宋_GB2312"/>
                <w:sz w:val="24"/>
              </w:rPr>
              <w:t>2025年8月30日前需全部完成，如有变动以甲方通知为准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3、为保障采购方人员体检安全，供应商需在响应文件中明确合理的体检方式，体检约计</w:t>
            </w:r>
            <w:r>
              <w:rPr>
                <w:rFonts w:ascii="仿宋_GB2312" w:hAnsi="仿宋_GB2312" w:cs="仿宋_GB2312" w:eastAsia="仿宋_GB2312"/>
                <w:sz w:val="24"/>
              </w:rPr>
              <w:t>1000</w:t>
            </w:r>
            <w:r>
              <w:rPr>
                <w:rFonts w:ascii="仿宋_GB2312" w:hAnsi="仿宋_GB2312" w:cs="仿宋_GB2312" w:eastAsia="仿宋_GB2312"/>
                <w:sz w:val="24"/>
              </w:rPr>
              <w:t>人左右，（家属可报名参加体检，享受同等待遇、费用自理，采购方不代为收费），包括每个门店实际安排一场人数，安排现场导医、引导工作人员数量等。结算以参加体检在编教职工实际人数结算。</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4、体检结果应在体检结束后10日内供应商一次性交付给采购人，并根据实际体检人数进行结算。</w:t>
            </w:r>
          </w:p>
          <w:p>
            <w:pPr>
              <w:pStyle w:val="null3"/>
              <w:jc w:val="both"/>
            </w:pPr>
            <w:r>
              <w:rPr>
                <w:rFonts w:ascii="仿宋_GB2312" w:hAnsi="仿宋_GB2312" w:cs="仿宋_GB2312" w:eastAsia="仿宋_GB2312"/>
                <w:sz w:val="24"/>
              </w:rPr>
              <w:t>5、学校承担体检费用为每人600元（校方提供承担体检费用人员名单）。</w:t>
            </w:r>
          </w:p>
          <w:p>
            <w:pPr>
              <w:pStyle w:val="null3"/>
              <w:jc w:val="both"/>
            </w:pPr>
            <w:r>
              <w:rPr>
                <w:rFonts w:ascii="仿宋_GB2312" w:hAnsi="仿宋_GB2312" w:cs="仿宋_GB2312" w:eastAsia="仿宋_GB2312"/>
                <w:sz w:val="24"/>
              </w:rPr>
              <w:t>6、若教职工需自行选择体检项目，可根据乙方体检报价目录表，自行选择体检内容。超过600元的部分，教职工根据基础体检项目方案外的体检项目折扣自行付费解决。</w:t>
            </w:r>
          </w:p>
          <w:p>
            <w:pPr>
              <w:pStyle w:val="null3"/>
              <w:jc w:val="both"/>
            </w:pPr>
            <w:r>
              <w:rPr>
                <w:rFonts w:ascii="仿宋_GB2312" w:hAnsi="仿宋_GB2312" w:cs="仿宋_GB2312" w:eastAsia="仿宋_GB2312"/>
                <w:sz w:val="24"/>
              </w:rPr>
              <w:t>7、家属可享受职工同等金额、折扣参加体检、费用自理（校方不代为乙方收费）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360"/>
              <w:jc w:val="both"/>
            </w:pPr>
            <w:r>
              <w:rPr>
                <w:rFonts w:ascii="仿宋_GB2312" w:hAnsi="仿宋_GB2312" w:cs="仿宋_GB2312" w:eastAsia="仿宋_GB2312"/>
                <w:sz w:val="24"/>
              </w:rPr>
              <w:t>1、</w:t>
            </w:r>
            <w:r>
              <w:rPr>
                <w:rFonts w:ascii="仿宋_GB2312" w:hAnsi="仿宋_GB2312" w:cs="仿宋_GB2312" w:eastAsia="仿宋_GB2312"/>
                <w:sz w:val="24"/>
                <w:b/>
              </w:rPr>
              <w:t>费用计算方式：</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1）供应商需向采购人交付教职工完成体检的项目清单及体检结果。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2）供应商及采购人对参加体检人员所完成的体检项目进行核对并相互签字确认。</w:t>
            </w:r>
          </w:p>
          <w:p>
            <w:pPr>
              <w:pStyle w:val="null3"/>
              <w:jc w:val="both"/>
            </w:pPr>
            <w:r>
              <w:rPr>
                <w:rFonts w:ascii="仿宋_GB2312" w:hAnsi="仿宋_GB2312" w:cs="仿宋_GB2312" w:eastAsia="仿宋_GB2312"/>
                <w:sz w:val="24"/>
                <w:b/>
                <w:u w:val="single"/>
              </w:rPr>
              <w:t>（</w:t>
            </w:r>
            <w:r>
              <w:rPr>
                <w:rFonts w:ascii="仿宋_GB2312" w:hAnsi="仿宋_GB2312" w:cs="仿宋_GB2312" w:eastAsia="仿宋_GB2312"/>
                <w:sz w:val="24"/>
                <w:b/>
                <w:u w:val="single"/>
              </w:rPr>
              <w:t>3）采购人根据参加体检人员的人数进行结算支付；按照体检方案进行体检的人员按600元计算。教职工若自行选择体检项目，学校承担上限为600元，不足600元的按照职工体检自选意向项目实际结算。</w:t>
            </w:r>
          </w:p>
          <w:p>
            <w:pPr>
              <w:pStyle w:val="null3"/>
              <w:ind w:left="120"/>
              <w:jc w:val="both"/>
            </w:pPr>
            <w:r>
              <w:rPr>
                <w:rFonts w:ascii="仿宋_GB2312" w:hAnsi="仿宋_GB2312" w:cs="仿宋_GB2312" w:eastAsia="仿宋_GB2312"/>
                <w:sz w:val="24"/>
                <w:b/>
              </w:rPr>
              <w:t>2、票据要求：</w:t>
            </w:r>
          </w:p>
          <w:p>
            <w:pPr>
              <w:pStyle w:val="null3"/>
              <w:ind w:firstLine="480"/>
              <w:jc w:val="both"/>
            </w:pPr>
            <w:r>
              <w:rPr>
                <w:rFonts w:ascii="仿宋_GB2312" w:hAnsi="仿宋_GB2312" w:cs="仿宋_GB2312" w:eastAsia="仿宋_GB2312"/>
                <w:sz w:val="24"/>
              </w:rPr>
              <w:t>体检机构需提供正式发票及对公账号。校方与体检机构核对人数金额无误并提供正式发票之日起，</w:t>
            </w:r>
            <w:r>
              <w:rPr>
                <w:rFonts w:ascii="仿宋_GB2312" w:hAnsi="仿宋_GB2312" w:cs="仿宋_GB2312" w:eastAsia="仿宋_GB2312"/>
                <w:sz w:val="24"/>
              </w:rPr>
              <w:t>60</w:t>
            </w:r>
            <w:r>
              <w:rPr>
                <w:rFonts w:ascii="仿宋_GB2312" w:hAnsi="仿宋_GB2312" w:cs="仿宋_GB2312" w:eastAsia="仿宋_GB2312"/>
                <w:sz w:val="24"/>
              </w:rPr>
              <w:t>个工作日左右，通过转账的方式支付。</w:t>
            </w:r>
          </w:p>
          <w:p>
            <w:pPr>
              <w:pStyle w:val="null3"/>
              <w:ind w:left="120"/>
              <w:jc w:val="both"/>
            </w:pPr>
            <w:r>
              <w:rPr>
                <w:rFonts w:ascii="仿宋_GB2312" w:hAnsi="仿宋_GB2312" w:cs="仿宋_GB2312" w:eastAsia="仿宋_GB2312"/>
                <w:b/>
              </w:rPr>
              <w:t xml:space="preserve">     </w:t>
            </w:r>
            <w:r>
              <w:rPr>
                <w:rFonts w:ascii="仿宋_GB2312" w:hAnsi="仿宋_GB2312" w:cs="仿宋_GB2312" w:eastAsia="仿宋_GB2312"/>
                <w:sz w:val="24"/>
                <w:b/>
                <w:u w:val="single"/>
              </w:rPr>
              <w:t>若乙方提供虚假发票，甲方可对乙方进行处罚，罚金为总支付费用的</w:t>
            </w:r>
            <w:r>
              <w:rPr>
                <w:rFonts w:ascii="仿宋_GB2312" w:hAnsi="仿宋_GB2312" w:cs="仿宋_GB2312" w:eastAsia="仿宋_GB2312"/>
                <w:sz w:val="24"/>
                <w:b/>
                <w:u w:val="single"/>
              </w:rPr>
              <w:t>20%。</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 xml:space="preserve"> </w:t>
            </w:r>
            <w:r>
              <w:rPr>
                <w:rFonts w:ascii="仿宋_GB2312" w:hAnsi="仿宋_GB2312" w:cs="仿宋_GB2312" w:eastAsia="仿宋_GB2312"/>
                <w:sz w:val="24"/>
              </w:rPr>
              <w:t>1、乙方在招标前5天需给甲方提供乙方所能够承担的体检项目明细表及报价表，供甲方招标时参考。</w:t>
            </w:r>
          </w:p>
          <w:p>
            <w:pPr>
              <w:pStyle w:val="null3"/>
              <w:jc w:val="both"/>
            </w:pPr>
            <w:r>
              <w:rPr>
                <w:rFonts w:ascii="仿宋_GB2312" w:hAnsi="仿宋_GB2312" w:cs="仿宋_GB2312" w:eastAsia="仿宋_GB2312"/>
                <w:sz w:val="24"/>
              </w:rPr>
              <w:t>2、乙方需为教职工营造舒心的体检氛围</w:t>
            </w:r>
            <w:r>
              <w:rPr>
                <w:rFonts w:ascii="仿宋_GB2312" w:hAnsi="仿宋_GB2312" w:cs="仿宋_GB2312" w:eastAsia="仿宋_GB2312"/>
                <w:sz w:val="24"/>
              </w:rPr>
              <w:t>及体检服务</w:t>
            </w:r>
            <w:r>
              <w:rPr>
                <w:rFonts w:ascii="仿宋_GB2312" w:hAnsi="仿宋_GB2312" w:cs="仿宋_GB2312" w:eastAsia="仿宋_GB2312"/>
                <w:sz w:val="24"/>
              </w:rPr>
              <w:t>，</w:t>
            </w:r>
            <w:r>
              <w:rPr>
                <w:rFonts w:ascii="仿宋_GB2312" w:hAnsi="仿宋_GB2312" w:cs="仿宋_GB2312" w:eastAsia="仿宋_GB2312"/>
                <w:sz w:val="24"/>
              </w:rPr>
              <w:t>体检服务需与应标情况相符，</w:t>
            </w:r>
            <w:r>
              <w:rPr>
                <w:rFonts w:ascii="仿宋_GB2312" w:hAnsi="仿宋_GB2312" w:cs="仿宋_GB2312" w:eastAsia="仿宋_GB2312"/>
                <w:sz w:val="24"/>
              </w:rPr>
              <w:t>我院在体检中有等待的职工</w:t>
            </w:r>
            <w:r>
              <w:rPr>
                <w:rFonts w:ascii="仿宋_GB2312" w:hAnsi="仿宋_GB2312" w:cs="仿宋_GB2312" w:eastAsia="仿宋_GB2312"/>
                <w:sz w:val="24"/>
              </w:rPr>
              <w:t>时</w:t>
            </w:r>
            <w:r>
              <w:rPr>
                <w:rFonts w:ascii="仿宋_GB2312" w:hAnsi="仿宋_GB2312" w:cs="仿宋_GB2312" w:eastAsia="仿宋_GB2312"/>
                <w:sz w:val="24"/>
              </w:rPr>
              <w:t>，乙方不得自行结束调换体检时间地点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3、体检时若因乙方所提供的体检设施造成的院内二次感染，所产生的后续治疗费用及责任由乙方承担。</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rPr>
              <w:t>4</w:t>
            </w:r>
            <w:r>
              <w:rPr>
                <w:rFonts w:ascii="仿宋_GB2312" w:hAnsi="仿宋_GB2312" w:cs="仿宋_GB2312" w:eastAsia="仿宋_GB2312"/>
                <w:sz w:val="24"/>
              </w:rPr>
              <w:t>、甲方参检人员的所有信息及检查结果，乙方不得向除甲方所提供的联系人之外的任何机构和人员透露。若因乙方未有效对参检人员信息及检查结果做好数据做好保密工作，所造成的信息的外泄，乙方承担相应的法律责任。</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1、甲方将保留30%质保金三个月，作为乙方体检质量考察期，乙方由于应检项目重大失误造成漏诊或者误诊的，由乙方承担甲方患病人员一切治疗及其他相关费用。</w:t>
            </w:r>
          </w:p>
          <w:p>
            <w:pPr>
              <w:pStyle w:val="null3"/>
              <w:jc w:val="both"/>
            </w:pPr>
            <w:r>
              <w:rPr>
                <w:rFonts w:ascii="仿宋_GB2312" w:hAnsi="仿宋_GB2312" w:cs="仿宋_GB2312" w:eastAsia="仿宋_GB2312"/>
                <w:sz w:val="24"/>
              </w:rPr>
              <w:t>3、乙方在进行体检时，不得以问诊的方式引导教职工进行不必要的额外体检，如经查实将从质保金中扣除相关金额。</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rPr>
              <w:t>备注：附件</w:t>
            </w:r>
            <w:r>
              <w:rPr>
                <w:rFonts w:ascii="仿宋_GB2312" w:hAnsi="仿宋_GB2312" w:cs="仿宋_GB2312" w:eastAsia="仿宋_GB2312"/>
                <w:sz w:val="24"/>
                <w:b/>
              </w:rPr>
              <w:t>1内</w:t>
            </w:r>
            <w:r>
              <w:rPr>
                <w:rFonts w:ascii="仿宋_GB2312" w:hAnsi="仿宋_GB2312" w:cs="仿宋_GB2312" w:eastAsia="仿宋_GB2312"/>
                <w:sz w:val="24"/>
                <w:b/>
              </w:rPr>
              <w:t>的</w:t>
            </w:r>
            <w:r>
              <w:rPr>
                <w:rFonts w:ascii="仿宋_GB2312" w:hAnsi="仿宋_GB2312" w:cs="仿宋_GB2312" w:eastAsia="仿宋_GB2312"/>
                <w:sz w:val="24"/>
                <w:b/>
              </w:rPr>
              <w:t>项目为</w:t>
            </w:r>
            <w:r>
              <w:rPr>
                <w:rFonts w:ascii="仿宋_GB2312" w:hAnsi="仿宋_GB2312" w:cs="仿宋_GB2312" w:eastAsia="仿宋_GB2312"/>
                <w:sz w:val="24"/>
                <w:b/>
              </w:rPr>
              <w:t>必须体检</w:t>
            </w:r>
            <w:r>
              <w:rPr>
                <w:rFonts w:ascii="仿宋_GB2312" w:hAnsi="仿宋_GB2312" w:cs="仿宋_GB2312" w:eastAsia="仿宋_GB2312"/>
                <w:sz w:val="24"/>
                <w:b/>
              </w:rPr>
              <w:t>项目，供应商可以在此基础上增</w:t>
            </w:r>
            <w:r>
              <w:rPr>
                <w:rFonts w:ascii="仿宋_GB2312" w:hAnsi="仿宋_GB2312" w:cs="仿宋_GB2312" w:eastAsia="仿宋_GB2312"/>
                <w:sz w:val="24"/>
                <w:b/>
              </w:rPr>
              <w:t>加</w:t>
            </w:r>
            <w:r>
              <w:rPr>
                <w:rFonts w:ascii="仿宋_GB2312" w:hAnsi="仿宋_GB2312" w:cs="仿宋_GB2312" w:eastAsia="仿宋_GB2312"/>
                <w:sz w:val="24"/>
                <w:b/>
              </w:rPr>
              <w:t>项目，</w:t>
            </w:r>
            <w:r>
              <w:rPr>
                <w:rFonts w:ascii="仿宋_GB2312" w:hAnsi="仿宋_GB2312" w:cs="仿宋_GB2312" w:eastAsia="仿宋_GB2312"/>
                <w:sz w:val="24"/>
                <w:b/>
              </w:rPr>
              <w:t>列表提供增加项目</w:t>
            </w:r>
            <w:r>
              <w:rPr>
                <w:rFonts w:ascii="仿宋_GB2312" w:hAnsi="仿宋_GB2312" w:cs="仿宋_GB2312" w:eastAsia="仿宋_GB2312"/>
                <w:sz w:val="24"/>
                <w:b/>
              </w:rPr>
              <w:t>的目录报价，</w:t>
            </w:r>
            <w:r>
              <w:rPr>
                <w:rFonts w:ascii="仿宋_GB2312" w:hAnsi="仿宋_GB2312" w:cs="仿宋_GB2312" w:eastAsia="仿宋_GB2312"/>
                <w:sz w:val="24"/>
                <w:b/>
              </w:rPr>
              <w:t>制定适合高校教职工的最合理体检项目方案。</w:t>
            </w:r>
          </w:p>
          <w:p>
            <w:pPr>
              <w:pStyle w:val="null3"/>
              <w:jc w:val="both"/>
            </w:pPr>
            <w:r>
              <w:rPr>
                <w:rFonts w:ascii="仿宋_GB2312" w:hAnsi="仿宋_GB2312" w:cs="仿宋_GB2312" w:eastAsia="仿宋_GB2312"/>
                <w:sz w:val="24"/>
                <w:b/>
              </w:rPr>
              <w:t>以上</w:t>
            </w:r>
            <w:r>
              <w:rPr>
                <w:rFonts w:ascii="仿宋_GB2312" w:hAnsi="仿宋_GB2312" w:cs="仿宋_GB2312" w:eastAsia="仿宋_GB2312"/>
                <w:sz w:val="24"/>
                <w:b/>
              </w:rPr>
              <w:t>体检套餐供应商不能替换或者减项，只能增</w:t>
            </w:r>
            <w:r>
              <w:rPr>
                <w:rFonts w:ascii="仿宋_GB2312" w:hAnsi="仿宋_GB2312" w:cs="仿宋_GB2312" w:eastAsia="仿宋_GB2312"/>
                <w:sz w:val="24"/>
                <w:b/>
              </w:rPr>
              <w:t>加</w:t>
            </w:r>
            <w:r>
              <w:rPr>
                <w:rFonts w:ascii="仿宋_GB2312" w:hAnsi="仿宋_GB2312" w:cs="仿宋_GB2312" w:eastAsia="仿宋_GB2312"/>
                <w:sz w:val="24"/>
                <w:b/>
              </w:rPr>
              <w:t>，且</w:t>
            </w:r>
            <w:r>
              <w:rPr>
                <w:rFonts w:ascii="仿宋_GB2312" w:hAnsi="仿宋_GB2312" w:cs="仿宋_GB2312" w:eastAsia="仿宋_GB2312"/>
                <w:sz w:val="24"/>
                <w:b/>
              </w:rPr>
              <w:t>报价时</w:t>
            </w:r>
            <w:r>
              <w:rPr>
                <w:rFonts w:ascii="仿宋_GB2312" w:hAnsi="仿宋_GB2312" w:cs="仿宋_GB2312" w:eastAsia="仿宋_GB2312"/>
                <w:sz w:val="24"/>
                <w:b/>
              </w:rPr>
              <w:t>须明确标注出增</w:t>
            </w:r>
            <w:r>
              <w:rPr>
                <w:rFonts w:ascii="仿宋_GB2312" w:hAnsi="仿宋_GB2312" w:cs="仿宋_GB2312" w:eastAsia="仿宋_GB2312"/>
                <w:sz w:val="24"/>
                <w:b/>
              </w:rPr>
              <w:t>加项目</w:t>
            </w:r>
            <w:r>
              <w:rPr>
                <w:rFonts w:ascii="仿宋_GB2312" w:hAnsi="仿宋_GB2312" w:cs="仿宋_GB2312" w:eastAsia="仿宋_GB2312"/>
                <w:sz w:val="24"/>
                <w:b/>
              </w:rPr>
              <w:t>。</w:t>
            </w:r>
            <w:r>
              <w:rPr>
                <w:rFonts w:ascii="仿宋_GB2312" w:hAnsi="仿宋_GB2312" w:cs="仿宋_GB2312" w:eastAsia="仿宋_GB2312"/>
                <w:sz w:val="24"/>
                <w:b/>
              </w:rPr>
              <w:t>（男、女项目方案分开制定）。</w:t>
            </w:r>
          </w:p>
          <w:tbl>
            <w:tblPr>
              <w:tblBorders>
                <w:top w:val="none" w:color="000000" w:sz="4"/>
                <w:left w:val="none" w:color="000000" w:sz="4"/>
                <w:bottom w:val="none" w:color="000000" w:sz="4"/>
                <w:right w:val="none" w:color="000000" w:sz="4"/>
                <w:insideH w:val="none"/>
                <w:insideV w:val="none"/>
              </w:tblBorders>
            </w:tblPr>
            <w:tblGrid>
              <w:gridCol w:w="424"/>
              <w:gridCol w:w="829"/>
              <w:gridCol w:w="305"/>
              <w:gridCol w:w="989"/>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w:t>
                  </w:r>
                  <w:r>
                    <w:rPr>
                      <w:rFonts w:ascii="仿宋_GB2312" w:hAnsi="仿宋_GB2312" w:cs="仿宋_GB2312" w:eastAsia="仿宋_GB2312"/>
                      <w:sz w:val="21"/>
                      <w:b/>
                    </w:rPr>
                    <w:t xml:space="preserve">  </w:t>
                  </w:r>
                  <w:r>
                    <w:rPr>
                      <w:rFonts w:ascii="仿宋_GB2312" w:hAnsi="仿宋_GB2312" w:cs="仿宋_GB2312" w:eastAsia="仿宋_GB2312"/>
                      <w:sz w:val="28"/>
                      <w:b/>
                    </w:rPr>
                    <w:t>目</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分</w:t>
                  </w:r>
                  <w:r>
                    <w:rPr>
                      <w:rFonts w:ascii="仿宋_GB2312" w:hAnsi="仿宋_GB2312" w:cs="仿宋_GB2312" w:eastAsia="仿宋_GB2312"/>
                      <w:sz w:val="21"/>
                      <w:b/>
                    </w:rPr>
                    <w:t xml:space="preserve">  </w:t>
                  </w:r>
                  <w:r>
                    <w:rPr>
                      <w:rFonts w:ascii="仿宋_GB2312" w:hAnsi="仿宋_GB2312" w:cs="仿宋_GB2312" w:eastAsia="仿宋_GB2312"/>
                      <w:sz w:val="28"/>
                      <w:b/>
                    </w:rPr>
                    <w:t>项</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报</w:t>
                  </w:r>
                  <w:r>
                    <w:rPr>
                      <w:rFonts w:ascii="仿宋_GB2312" w:hAnsi="仿宋_GB2312" w:cs="仿宋_GB2312" w:eastAsia="仿宋_GB2312"/>
                      <w:sz w:val="21"/>
                      <w:b/>
                    </w:rPr>
                    <w:t xml:space="preserve"> </w:t>
                  </w:r>
                  <w:r>
                    <w:rPr>
                      <w:rFonts w:ascii="仿宋_GB2312" w:hAnsi="仿宋_GB2312" w:cs="仿宋_GB2312" w:eastAsia="仿宋_GB2312"/>
                      <w:sz w:val="28"/>
                      <w:b/>
                    </w:rPr>
                    <w:t>价</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说</w:t>
                  </w:r>
                  <w:r>
                    <w:rPr>
                      <w:rFonts w:ascii="仿宋_GB2312" w:hAnsi="仿宋_GB2312" w:cs="仿宋_GB2312" w:eastAsia="仿宋_GB2312"/>
                      <w:sz w:val="21"/>
                      <w:b/>
                    </w:rPr>
                    <w:t xml:space="preserve"> </w:t>
                  </w:r>
                  <w:r>
                    <w:rPr>
                      <w:rFonts w:ascii="仿宋_GB2312" w:hAnsi="仿宋_GB2312" w:cs="仿宋_GB2312" w:eastAsia="仿宋_GB2312"/>
                      <w:sz w:val="28"/>
                      <w:b/>
                    </w:rPr>
                    <w:t>明</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心电图</w:t>
                  </w:r>
                </w:p>
                <w:p>
                  <w:pPr>
                    <w:pStyle w:val="null3"/>
                    <w:jc w:val="center"/>
                  </w:pPr>
                  <w:r>
                    <w:rPr>
                      <w:rFonts w:ascii="仿宋_GB2312" w:hAnsi="仿宋_GB2312" w:cs="仿宋_GB2312" w:eastAsia="仿宋_GB2312"/>
                      <w:sz w:val="21"/>
                      <w:color w:val="000000"/>
                    </w:rPr>
                    <w:t>肺功能检测</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眼科、眼压、眼底、检查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影像学检查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胸部</w:t>
                  </w:r>
                  <w:r>
                    <w:rPr>
                      <w:rFonts w:ascii="仿宋_GB2312" w:hAnsi="仿宋_GB2312" w:cs="仿宋_GB2312" w:eastAsia="仿宋_GB2312"/>
                      <w:sz w:val="21"/>
                      <w:color w:val="000000"/>
                    </w:rPr>
                    <w:t>CT</w:t>
                  </w:r>
                  <w:r>
                    <w:rPr>
                      <w:rFonts w:ascii="仿宋_GB2312" w:hAnsi="仿宋_GB2312" w:cs="仿宋_GB2312" w:eastAsia="仿宋_GB2312"/>
                      <w:sz w:val="21"/>
                      <w:color w:val="000000"/>
                    </w:rPr>
                    <w:t>检查</w:t>
                  </w:r>
                </w:p>
                <w:p>
                  <w:pPr>
                    <w:pStyle w:val="null3"/>
                    <w:jc w:val="center"/>
                  </w:pPr>
                  <w:r>
                    <w:rPr>
                      <w:rFonts w:ascii="仿宋_GB2312" w:hAnsi="仿宋_GB2312" w:cs="仿宋_GB2312" w:eastAsia="仿宋_GB2312"/>
                      <w:sz w:val="21"/>
                      <w:color w:val="0070C0"/>
                    </w:rPr>
                    <w:t>颈椎正侧位</w:t>
                  </w:r>
                  <w:r>
                    <w:rPr>
                      <w:rFonts w:ascii="仿宋_GB2312" w:hAnsi="仿宋_GB2312" w:cs="仿宋_GB2312" w:eastAsia="仿宋_GB2312"/>
                      <w:sz w:val="21"/>
                      <w:color w:val="0070C0"/>
                    </w:rPr>
                    <w:t>DR</w:t>
                  </w:r>
                  <w:r>
                    <w:rPr>
                      <w:rFonts w:ascii="仿宋_GB2312" w:hAnsi="仿宋_GB2312" w:cs="仿宋_GB2312" w:eastAsia="仿宋_GB2312"/>
                      <w:sz w:val="21"/>
                      <w:color w:val="0070C0"/>
                    </w:rPr>
                    <w:t>检查</w:t>
                  </w:r>
                </w:p>
                <w:p>
                  <w:pPr>
                    <w:pStyle w:val="null3"/>
                    <w:jc w:val="center"/>
                  </w:p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如果有更合理、准确的检查方式可以替换</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化验室检查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血常规五分类</w:t>
                  </w:r>
                </w:p>
                <w:p>
                  <w:pPr>
                    <w:pStyle w:val="null3"/>
                    <w:jc w:val="center"/>
                  </w:pPr>
                  <w:r>
                    <w:rPr>
                      <w:rFonts w:ascii="仿宋_GB2312" w:hAnsi="仿宋_GB2312" w:cs="仿宋_GB2312" w:eastAsia="仿宋_GB2312"/>
                      <w:sz w:val="21"/>
                      <w:color w:val="000000"/>
                    </w:rPr>
                    <w:t>血脂</w:t>
                  </w:r>
                  <w:r>
                    <w:rPr>
                      <w:rFonts w:ascii="仿宋_GB2312" w:hAnsi="仿宋_GB2312" w:cs="仿宋_GB2312" w:eastAsia="仿宋_GB2312"/>
                      <w:sz w:val="21"/>
                      <w:color w:val="000000"/>
                    </w:rPr>
                    <w:t>6</w:t>
                  </w:r>
                  <w:r>
                    <w:rPr>
                      <w:rFonts w:ascii="仿宋_GB2312" w:hAnsi="仿宋_GB2312" w:cs="仿宋_GB2312" w:eastAsia="仿宋_GB2312"/>
                      <w:sz w:val="21"/>
                      <w:color w:val="000000"/>
                    </w:rPr>
                    <w:t>项</w:t>
                  </w:r>
                </w:p>
                <w:p>
                  <w:pPr>
                    <w:pStyle w:val="null3"/>
                    <w:jc w:val="center"/>
                  </w:pPr>
                  <w:r>
                    <w:rPr>
                      <w:rFonts w:ascii="仿宋_GB2312" w:hAnsi="仿宋_GB2312" w:cs="仿宋_GB2312" w:eastAsia="仿宋_GB2312"/>
                      <w:sz w:val="21"/>
                      <w:color w:val="000000"/>
                    </w:rPr>
                    <w:t>空腹血糖</w:t>
                  </w:r>
                </w:p>
                <w:p>
                  <w:pPr>
                    <w:pStyle w:val="null3"/>
                    <w:jc w:val="center"/>
                  </w:pPr>
                  <w:r>
                    <w:rPr>
                      <w:rFonts w:ascii="仿宋_GB2312" w:hAnsi="仿宋_GB2312" w:cs="仿宋_GB2312" w:eastAsia="仿宋_GB2312"/>
                      <w:sz w:val="21"/>
                      <w:color w:val="000000"/>
                    </w:rPr>
                    <w:t>乙肝</w:t>
                  </w:r>
                  <w:r>
                    <w:rPr>
                      <w:rFonts w:ascii="仿宋_GB2312" w:hAnsi="仿宋_GB2312" w:cs="仿宋_GB2312" w:eastAsia="仿宋_GB2312"/>
                      <w:sz w:val="21"/>
                      <w:color w:val="000000"/>
                    </w:rPr>
                    <w:t>5</w:t>
                  </w:r>
                  <w:r>
                    <w:rPr>
                      <w:rFonts w:ascii="仿宋_GB2312" w:hAnsi="仿宋_GB2312" w:cs="仿宋_GB2312" w:eastAsia="仿宋_GB2312"/>
                      <w:sz w:val="21"/>
                      <w:color w:val="000000"/>
                    </w:rPr>
                    <w:t>项</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FF0000"/>
                      <w:u w:val="single"/>
                    </w:rPr>
                    <w:t>注：所做方案中的血脂六项与血流变内容若有重复项可取消。</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肝胆功能检查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w:t>
                  </w:r>
                  <w:r>
                    <w:rPr>
                      <w:rFonts w:ascii="仿宋_GB2312" w:hAnsi="仿宋_GB2312" w:cs="仿宋_GB2312" w:eastAsia="仿宋_GB2312"/>
                      <w:sz w:val="21"/>
                      <w:color w:val="000000"/>
                    </w:rPr>
                    <w:t>10</w:t>
                  </w:r>
                  <w:r>
                    <w:rPr>
                      <w:rFonts w:ascii="仿宋_GB2312" w:hAnsi="仿宋_GB2312" w:cs="仿宋_GB2312" w:eastAsia="仿宋_GB2312"/>
                      <w:sz w:val="21"/>
                      <w:color w:val="000000"/>
                    </w:rPr>
                    <w:t>项</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肾功能检查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肾功能</w:t>
                  </w:r>
                  <w:r>
                    <w:rPr>
                      <w:rFonts w:ascii="仿宋_GB2312" w:hAnsi="仿宋_GB2312" w:cs="仿宋_GB2312" w:eastAsia="仿宋_GB2312"/>
                      <w:sz w:val="21"/>
                      <w:color w:val="000000"/>
                    </w:rPr>
                    <w:t>4</w:t>
                  </w:r>
                  <w:r>
                    <w:rPr>
                      <w:rFonts w:ascii="仿宋_GB2312" w:hAnsi="仿宋_GB2312" w:cs="仿宋_GB2312" w:eastAsia="仿宋_GB2312"/>
                      <w:sz w:val="21"/>
                      <w:color w:val="000000"/>
                    </w:rPr>
                    <w:t>项</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彩</w:t>
                  </w:r>
                  <w:r>
                    <w:rPr>
                      <w:rFonts w:ascii="仿宋_GB2312" w:hAnsi="仿宋_GB2312" w:cs="仿宋_GB2312" w:eastAsia="仿宋_GB2312"/>
                      <w:sz w:val="21"/>
                    </w:rPr>
                    <w:t xml:space="preserve">   </w:t>
                  </w:r>
                  <w:r>
                    <w:rPr>
                      <w:rFonts w:ascii="仿宋_GB2312" w:hAnsi="仿宋_GB2312" w:cs="仿宋_GB2312" w:eastAsia="仿宋_GB2312"/>
                      <w:sz w:val="21"/>
                      <w:color w:val="000000"/>
                    </w:rPr>
                    <w:t>超</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心脏彩超</w:t>
                  </w:r>
                </w:p>
                <w:p>
                  <w:pPr>
                    <w:pStyle w:val="null3"/>
                    <w:jc w:val="center"/>
                  </w:pPr>
                  <w:r>
                    <w:rPr>
                      <w:rFonts w:ascii="仿宋_GB2312" w:hAnsi="仿宋_GB2312" w:cs="仿宋_GB2312" w:eastAsia="仿宋_GB2312"/>
                      <w:sz w:val="21"/>
                      <w:color w:val="000000"/>
                    </w:rPr>
                    <w:t>颈动脉彩超</w:t>
                  </w:r>
                </w:p>
                <w:p>
                  <w:pPr>
                    <w:pStyle w:val="null3"/>
                    <w:jc w:val="center"/>
                  </w:pPr>
                  <w:r>
                    <w:rPr>
                      <w:rFonts w:ascii="仿宋_GB2312" w:hAnsi="仿宋_GB2312" w:cs="仿宋_GB2312" w:eastAsia="仿宋_GB2312"/>
                      <w:sz w:val="21"/>
                      <w:color w:val="000000"/>
                    </w:rPr>
                    <w:t>甲状腺彩超</w:t>
                  </w:r>
                </w:p>
                <w:p>
                  <w:pPr>
                    <w:pStyle w:val="null3"/>
                    <w:jc w:val="center"/>
                  </w:pPr>
                  <w:r>
                    <w:rPr>
                      <w:rFonts w:ascii="仿宋_GB2312" w:hAnsi="仿宋_GB2312" w:cs="仿宋_GB2312" w:eastAsia="仿宋_GB2312"/>
                      <w:sz w:val="21"/>
                      <w:color w:val="000000"/>
                    </w:rPr>
                    <w:t>腹部超声</w:t>
                  </w:r>
                </w:p>
                <w:p>
                  <w:pPr>
                    <w:pStyle w:val="null3"/>
                    <w:jc w:val="center"/>
                  </w:pPr>
                  <w:r>
                    <w:rPr>
                      <w:rFonts w:ascii="仿宋_GB2312" w:hAnsi="仿宋_GB2312" w:cs="仿宋_GB2312" w:eastAsia="仿宋_GB2312"/>
                      <w:sz w:val="21"/>
                      <w:color w:val="000000"/>
                    </w:rPr>
                    <w:t>男性前列腺、</w:t>
                  </w:r>
                  <w:r>
                    <w:rPr>
                      <w:rFonts w:ascii="仿宋_GB2312" w:hAnsi="仿宋_GB2312" w:cs="仿宋_GB2312" w:eastAsia="仿宋_GB2312"/>
                      <w:sz w:val="21"/>
                      <w:color w:val="0070C0"/>
                    </w:rPr>
                    <w:t>膀胱、输尿管</w:t>
                  </w:r>
                  <w:r>
                    <w:rPr>
                      <w:rFonts w:ascii="仿宋_GB2312" w:hAnsi="仿宋_GB2312" w:cs="仿宋_GB2312" w:eastAsia="仿宋_GB2312"/>
                      <w:sz w:val="21"/>
                      <w:color w:val="000000"/>
                    </w:rPr>
                    <w:t>彩超</w:t>
                  </w:r>
                </w:p>
                <w:p>
                  <w:pPr>
                    <w:pStyle w:val="null3"/>
                    <w:jc w:val="center"/>
                  </w:pPr>
                  <w:r>
                    <w:rPr>
                      <w:rFonts w:ascii="仿宋_GB2312" w:hAnsi="仿宋_GB2312" w:cs="仿宋_GB2312" w:eastAsia="仿宋_GB2312"/>
                      <w:sz w:val="21"/>
                      <w:color w:val="000000"/>
                    </w:rPr>
                    <w:t>女性盆腔彩超</w:t>
                  </w:r>
                </w:p>
                <w:p>
                  <w:pPr>
                    <w:pStyle w:val="null3"/>
                    <w:jc w:val="center"/>
                  </w:pPr>
                  <w:r>
                    <w:rPr>
                      <w:rFonts w:ascii="仿宋_GB2312" w:hAnsi="仿宋_GB2312" w:cs="仿宋_GB2312" w:eastAsia="仿宋_GB2312"/>
                      <w:sz w:val="21"/>
                      <w:color w:val="000000"/>
                    </w:rPr>
                    <w:t>女性乳腺彩超</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心血管疾病检查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血流变检查</w:t>
                  </w:r>
                </w:p>
                <w:p>
                  <w:pPr>
                    <w:pStyle w:val="null3"/>
                    <w:jc w:val="center"/>
                  </w:pPr>
                  <w:r>
                    <w:rPr>
                      <w:rFonts w:ascii="仿宋_GB2312" w:hAnsi="仿宋_GB2312" w:cs="仿宋_GB2312" w:eastAsia="仿宋_GB2312"/>
                      <w:sz w:val="21"/>
                      <w:color w:val="000000"/>
                    </w:rPr>
                    <w:t>（请标明检查每一单项内容）</w:t>
                  </w:r>
                </w:p>
                <w:p>
                  <w:pPr>
                    <w:pStyle w:val="null3"/>
                    <w:jc w:val="center"/>
                  </w:pPr>
                  <w:r>
                    <w:rPr>
                      <w:rFonts w:ascii="仿宋_GB2312" w:hAnsi="仿宋_GB2312" w:cs="仿宋_GB2312" w:eastAsia="仿宋_GB2312"/>
                      <w:sz w:val="21"/>
                      <w:color w:val="000000"/>
                    </w:rPr>
                    <w:t>同型半胱氨酸</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内分泌检查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甲状腺功能</w:t>
                  </w:r>
                  <w:r>
                    <w:rPr>
                      <w:rFonts w:ascii="仿宋_GB2312" w:hAnsi="仿宋_GB2312" w:cs="仿宋_GB2312" w:eastAsia="仿宋_GB2312"/>
                      <w:sz w:val="21"/>
                      <w:color w:val="000000"/>
                    </w:rPr>
                    <w:t>5</w:t>
                  </w:r>
                  <w:r>
                    <w:rPr>
                      <w:rFonts w:ascii="仿宋_GB2312" w:hAnsi="仿宋_GB2312" w:cs="仿宋_GB2312" w:eastAsia="仿宋_GB2312"/>
                      <w:sz w:val="21"/>
                      <w:color w:val="000000"/>
                    </w:rPr>
                    <w:t>项</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骨密度检查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骨密度</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动脉血管硬度检测</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脑血流检查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脑血流</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基因检测</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肿瘤标志物</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早期肿瘤相关物质检测</w:t>
                  </w:r>
                </w:p>
                <w:p>
                  <w:pPr>
                    <w:pStyle w:val="null3"/>
                    <w:jc w:val="center"/>
                  </w:pPr>
                  <w:r>
                    <w:rPr>
                      <w:rFonts w:ascii="仿宋_GB2312" w:hAnsi="仿宋_GB2312" w:cs="仿宋_GB2312" w:eastAsia="仿宋_GB2312"/>
                      <w:sz w:val="21"/>
                      <w:color w:val="0070C0"/>
                    </w:rPr>
                    <w:t>癌胚抗原</w:t>
                  </w:r>
                </w:p>
                <w:p>
                  <w:pPr>
                    <w:pStyle w:val="null3"/>
                    <w:jc w:val="center"/>
                  </w:pPr>
                  <w:r>
                    <w:rPr>
                      <w:rFonts w:ascii="仿宋_GB2312" w:hAnsi="仿宋_GB2312" w:cs="仿宋_GB2312" w:eastAsia="仿宋_GB2312"/>
                      <w:sz w:val="21"/>
                      <w:color w:val="0070C0"/>
                    </w:rPr>
                    <w:t>甲胎蛋白</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妇科检查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宫颈液基薄层细胞学检查</w:t>
                  </w:r>
                </w:p>
                <w:p>
                  <w:pPr>
                    <w:pStyle w:val="null3"/>
                    <w:jc w:val="center"/>
                  </w:pPr>
                  <w:r>
                    <w:rPr>
                      <w:rFonts w:ascii="仿宋_GB2312" w:hAnsi="仿宋_GB2312" w:cs="仿宋_GB2312" w:eastAsia="仿宋_GB2312"/>
                      <w:sz w:val="21"/>
                      <w:color w:val="000000"/>
                    </w:rPr>
                    <w:t>妇科内诊</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达到付款条件起60 日内</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第三方会计事务所审计过的财务报告，或响应文件递交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文件递交截止时间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提供响应文件递交截止时间前6个月内至少一个月依法纳税的相关凭证(税种至少为增值税或企业所得税中的一种)。注：依法免税的应提供说明，无须缴纳税收的应 提供说明以及6个月内的纳税凭证，零报税的提供申报成功的凭证；成立不足一个月的提供将依法纳税的承诺书（格式自拟）；时间以税款所属时段为准；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具有履行合同所必须的设备和专业技术能力的说明及承诺；</w:t>
            </w:r>
          </w:p>
        </w:tc>
        <w:tc>
          <w:tcPr>
            <w:tcW w:type="dxa" w:w="1661"/>
          </w:tcPr>
          <w:p>
            <w:pPr>
              <w:pStyle w:val="null3"/>
            </w:pPr>
            <w:r>
              <w:rPr>
                <w:rFonts w:ascii="仿宋_GB2312" w:hAnsi="仿宋_GB2312" w:cs="仿宋_GB2312" w:eastAsia="仿宋_GB2312"/>
              </w:rPr>
              <w:t>履行合同所必需的设备和专业技术能力的说明及承诺.docx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供应商需具有地方区县级以上卫生行政部门批准颁发的执业许可证，具有卫生行政部门核准登记取得的《放射诊疗许可证》；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响应报价表.docx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服务内容及服务邀请应答表 服务方案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体检服务方案</w:t>
            </w:r>
          </w:p>
        </w:tc>
        <w:tc>
          <w:tcPr>
            <w:tcW w:type="dxa" w:w="2492"/>
          </w:tcPr>
          <w:p>
            <w:pPr>
              <w:pStyle w:val="null3"/>
            </w:pPr>
            <w:r>
              <w:rPr>
                <w:rFonts w:ascii="仿宋_GB2312" w:hAnsi="仿宋_GB2312" w:cs="仿宋_GB2312" w:eastAsia="仿宋_GB2312"/>
              </w:rPr>
              <w:t>根据供应商提供的服务方案，主要包括但不限于：①体检专场服务方案；②提供营养早餐；③体检服务流程；④体检现场秩序维护；⑤健康管理方案。方案内容全面、合理、规范，可操作性强每项得3分；方案内容比较合理和规范，有较强的可操作性每项得2分；方案内容基本合理，可操作性一般每项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设备配备情况</w:t>
            </w:r>
          </w:p>
        </w:tc>
        <w:tc>
          <w:tcPr>
            <w:tcW w:type="dxa" w:w="2492"/>
          </w:tcPr>
          <w:p>
            <w:pPr>
              <w:pStyle w:val="null3"/>
            </w:pPr>
            <w:r>
              <w:rPr>
                <w:rFonts w:ascii="仿宋_GB2312" w:hAnsi="仿宋_GB2312" w:cs="仿宋_GB2312" w:eastAsia="仿宋_GB2312"/>
              </w:rPr>
              <w:t>拟投入本项目体检的医疗设备根据本项目服务内容提供相对应的主要仪器体检设备图片及说明。 提供的仪器设备内容完善、设备设施先进、满足本项目要求的得8分；提供的仪器设备内容较完善、设备设施较先进、较能满足本项目要求的得6分；提供的仪器设备内容基本完善、设备设施基本先进、基本能满足本项目要求的得4分；提供的仪器设备内容部分完善、设备设施部分先进、部分能满足本项目要求的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医务团队人员配置</w:t>
            </w:r>
          </w:p>
        </w:tc>
        <w:tc>
          <w:tcPr>
            <w:tcW w:type="dxa" w:w="2492"/>
          </w:tcPr>
          <w:p>
            <w:pPr>
              <w:pStyle w:val="null3"/>
            </w:pPr>
            <w:r>
              <w:rPr>
                <w:rFonts w:ascii="仿宋_GB2312" w:hAnsi="仿宋_GB2312" w:cs="仿宋_GB2312" w:eastAsia="仿宋_GB2312"/>
              </w:rPr>
              <w:t>人员团队设置合理具备满足本项目需要，根据职称、工作年限、工作经验等情况自主赋分。 人员团队配备方案完全满足需求，合理可行针对性强得12分；人员团队配备方案较能满足需求，较合理可行得9分；人员团队配备方案基本合理，基本满足项目需求得6分；人员团队配备方案合理性一般，针对性一般得3分；人员团队配备方案部分合理1分。未提供不得分。 注：需提供团队人员的相关证书复印件并加盖公章。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提供应急保障措施，对于各类突发事件(包括但不限于体检人晕针、晕血、低血糖、仪器伤害等)具有应急响应方案，措施需详细完整、切实可行，具备应急能力，以及配备应急处置反应时效、设备、药品、人员、场所等。 应急响应方案完善、切实可行、科学合理得10分；应急响应方案较完善、可行、较合理得7分；应急响应方案可行性基本完善、基本合理得3分；应急响应方案可行性部分完善、合理得1分。未提供不得分。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体检管理制度及保密方案</w:t>
            </w:r>
          </w:p>
        </w:tc>
        <w:tc>
          <w:tcPr>
            <w:tcW w:type="dxa" w:w="2492"/>
          </w:tcPr>
          <w:p>
            <w:pPr>
              <w:pStyle w:val="null3"/>
            </w:pPr>
            <w:r>
              <w:rPr>
                <w:rFonts w:ascii="仿宋_GB2312" w:hAnsi="仿宋_GB2312" w:cs="仿宋_GB2312" w:eastAsia="仿宋_GB2312"/>
              </w:rPr>
              <w:t>具有健全的体检管理制度及保密方案。 方案完善合理、保密程度高的得6分；方案较合理、保密程度一般的得4分；方案基本合理、保密程度低得2分。未提供不得分。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体检报告</w:t>
            </w:r>
          </w:p>
        </w:tc>
        <w:tc>
          <w:tcPr>
            <w:tcW w:type="dxa" w:w="2492"/>
          </w:tcPr>
          <w:p>
            <w:pPr>
              <w:pStyle w:val="null3"/>
            </w:pPr>
            <w:r>
              <w:rPr>
                <w:rFonts w:ascii="仿宋_GB2312" w:hAnsi="仿宋_GB2312" w:cs="仿宋_GB2312" w:eastAsia="仿宋_GB2312"/>
              </w:rPr>
              <w:t>1.参选单位能够提供体检书面报告，得1分；未提供不得分。 2.参选单位能够提供电子体检报告，得1分；未提供不得分。 3.参选单位能够出具体检结果分析方案，得1分；未提供不得分。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体检报告方案</w:t>
            </w:r>
          </w:p>
        </w:tc>
        <w:tc>
          <w:tcPr>
            <w:tcW w:type="dxa" w:w="2492"/>
          </w:tcPr>
          <w:p>
            <w:pPr>
              <w:pStyle w:val="null3"/>
            </w:pPr>
            <w:r>
              <w:rPr>
                <w:rFonts w:ascii="仿宋_GB2312" w:hAnsi="仿宋_GB2312" w:cs="仿宋_GB2312" w:eastAsia="仿宋_GB2312"/>
              </w:rPr>
              <w:t>根据体检报告内容的全面性、体检结果分析程序的严谨性、问题处理流程的清晰度、体检后跟踪反馈机制的健全性等四项情况综合进行比较，报告方案合理可行、针对性强得5分；报告方案较合理、针对性强较强得3分；报告方案基本合理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具备详细的后期跟踪、健康管理建议、健康风险评估服务。 后期跟踪服务及时、健康管理建议及风险评估完善，为需进一步检查者可提供便利服务的得5分；后期跟踪服务较及时、健康管理建议及风险评估较完善，为需进一步检查者可提供较便利服务的得3分；后期跟踪服务及时性一般、健康管理建议及风险评估部分完善，为需进一步检查者提供的服务便利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体检环境</w:t>
            </w:r>
          </w:p>
        </w:tc>
        <w:tc>
          <w:tcPr>
            <w:tcW w:type="dxa" w:w="2492"/>
          </w:tcPr>
          <w:p>
            <w:pPr>
              <w:pStyle w:val="null3"/>
            </w:pPr>
            <w:r>
              <w:rPr>
                <w:rFonts w:ascii="仿宋_GB2312" w:hAnsi="仿宋_GB2312" w:cs="仿宋_GB2312" w:eastAsia="仿宋_GB2312"/>
              </w:rPr>
              <w:t>体检场所环境、布局合理，医检分离、具有独立体检中心场地，交通便利得6分；体检场所环境、布局基本合理，具有独立体检中心场地，交通基本便利得4分；体检场所环境、布局部分合理，交通条件一般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根据其对服务期的响应、服务期内的质量、承诺各管理项目指标达到国家相关标准、不能完全履行服务承诺时接受处罚等情况做出实质性承诺。 提供的服务承诺完善详细得5分；提供的服务承诺较完善、较详细得3分；提供的服务承诺基本完善、基本详细得1分；未提供不得分。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供应商提供2022年1月1日至今（以合同签订时间为准）类似业绩，每份计2分，最高计10分。 注：需提供合同（包含合同首页、关键内容页及签署页）复印件并加盖本单位公章有效证明文件。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为采购人提供与本项目体检相关的增值服务，若符合采购人的需求，每项增值服务得1分，满分5分。未提供不得分。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价格分统一采用低价优先法计算，即满足磋商文件要求且“折扣”最低的磋商报价为磋商基准价，其价格分为满分。其他供应商的价格分统一按照下列公式计算： 磋商报价得分=(磋商基准价／磋商报价)×价格权值×100 计算分数时四舍五入取小数点后两位 备注：成交后供应商所报折扣，职工在增加此采购清单外的其余体检项目时以该折扣为准。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详见附件：履行合同所必需的设备和专业技术能力的说明及承诺.docx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