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版本号：HCCG-2025-11220250528003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成本预算绩效管理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HCCG-2025-112</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成本预算绩效管理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成本预算绩效管理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聘请第三方机构对普通高中生均成本、本科高校生均成本、宝鸡城区公交公司运营补贴、咸阳主城区污水处理费等4个项目开展成本预算绩效分析，从明确绩效水平、优化业务流程、深化成本核算、测算财政支出、优化管理机制等方面，形成项目成本预算绩效分析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采购包1（普通高中生均成本绩效管理）：属于专门面向中小企业采购。</w:t>
      </w:r>
    </w:p>
    <w:p>
      <w:pPr>
        <w:pStyle w:val="null3"/>
      </w:pPr>
      <w:r>
        <w:rPr>
          <w:rFonts w:ascii="仿宋_GB2312" w:hAnsi="仿宋_GB2312" w:cs="仿宋_GB2312" w:eastAsia="仿宋_GB2312"/>
        </w:rPr>
        <w:t>采购包2（本科高校生均成本绩效管理）：属于专门面向中小企业采购。</w:t>
      </w:r>
    </w:p>
    <w:p>
      <w:pPr>
        <w:pStyle w:val="null3"/>
      </w:pPr>
      <w:r>
        <w:rPr>
          <w:rFonts w:ascii="仿宋_GB2312" w:hAnsi="仿宋_GB2312" w:cs="仿宋_GB2312" w:eastAsia="仿宋_GB2312"/>
        </w:rPr>
        <w:t>采购包3（宝鸡城区公交公司运营补贴绩效管理）：属于专门面向中小企业采购。</w:t>
      </w:r>
    </w:p>
    <w:p>
      <w:pPr>
        <w:pStyle w:val="null3"/>
      </w:pPr>
      <w:r>
        <w:rPr>
          <w:rFonts w:ascii="仿宋_GB2312" w:hAnsi="仿宋_GB2312" w:cs="仿宋_GB2312" w:eastAsia="仿宋_GB2312"/>
        </w:rPr>
        <w:t>采购包4（咸阳主城区污水处理费绩效管理）：属于专门面向中小企业采购。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4、税收缴纳证明：提供自2024年5月1日至今已缴纳的至少一个月的纳税证明或完税证明，纳税证明或完税证明上应有代收机构或税务机关的公章或业务专用章，依法免税的服务商应提供相关文件证明；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5、社会保障资金缴纳证明：提供供应商2024年5月1日至今已缴存的任意一个月的社会保障资金缴存单据或社保机构开具的社会保险参保缴费情况证明；依法不需要缴纳社会保障资金的应提供相关文件证明；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6、前三年内无重大违法记录：前三年内无重大违法记录；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4、税收缴纳证明：提供自2024年5月1日至今已缴纳的至少一个月的纳税证明或完税证明，纳税证明或完税证明上应有代收机构或税务机关的公章或业务专用章，依法免税的服务商应提供相关文件证明；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5、社会保障资金缴纳证明：提供供应商2024年5月1日至今已缴存的任意一个月的社会保障资金缴存单据或社保机构开具的社会保险参保缴费情况证明；依法不需要缴纳社会保障资金的应提供相关文件证明；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6、前三年内无重大违法记录：前三年内无重大违法记录；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4、税收缴纳证明：提供自2024年5月1日至今已缴纳的至少一个月的纳税证明或完税证明，纳税证明或完税证明上应有代收机构或税务机关的公章或业务专用章，依法免税的服务商应提供相关文件证明；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5、社会保障资金缴纳证明：提供供应商2024年5月1日至今已缴存的任意一个月的社会保障资金缴存单据或社保机构开具的社会保险参保缴费情况证明；依法不需要缴纳社会保障资金的应提供相关文件证明；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6、前三年内无重大违法记录：前三年内无重大违法记录；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4、税收缴纳证明：提供自2024年5月1日至今已缴纳的至少一个月的纳税证明或完税证明，纳税证明或完税证明上应有代收机构或税务机关的公章或业务专用章，依法免税的服务商应提供相关文件证明；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5、社会保障资金缴纳证明：提供供应商2024年5月1日至今已缴存的任意一个月的社会保障资金缴存单据或社保机构开具的社会保险参保缴费情况证明；依法不需要缴纳社会保障资金的应提供相关文件证明；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6、前三年内无重大违法记录：前三年内无重大违法记录；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杨婧妍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18392767108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采购包1：561,000.00元</w:t>
            </w:r>
          </w:p>
          <w:p>
            <w:pPr>
              <w:pStyle w:val="null3"/>
            </w:pPr>
            <w:r>
              <w:rPr>
                <w:rFonts w:ascii="仿宋_GB2312" w:hAnsi="仿宋_GB2312" w:cs="仿宋_GB2312" w:eastAsia="仿宋_GB2312"/>
              </w:rPr>
              <w:t>采购包2：561,000.00元</w:t>
            </w:r>
          </w:p>
          <w:p>
            <w:pPr>
              <w:pStyle w:val="null3"/>
            </w:pPr>
            <w:r>
              <w:rPr>
                <w:rFonts w:ascii="仿宋_GB2312" w:hAnsi="仿宋_GB2312" w:cs="仿宋_GB2312" w:eastAsia="仿宋_GB2312"/>
              </w:rPr>
              <w:t>采购包3：561,000.00元</w:t>
            </w:r>
          </w:p>
          <w:p>
            <w:pPr>
              <w:pStyle w:val="null3"/>
            </w:pPr>
            <w:r>
              <w:rPr>
                <w:rFonts w:ascii="仿宋_GB2312" w:hAnsi="仿宋_GB2312" w:cs="仿宋_GB2312" w:eastAsia="仿宋_GB2312"/>
              </w:rPr>
              <w:t>采购包4：561,000.00元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2.代理服务费参考国家计委《招标代理服务收费管理暂行办法》计价格[2002]1980号、国家发展改革委办公厅《关于招标代理服务收费有关问题的通知》发改办价格［2003］857号规定的标准下浮30%计取。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按照预算绩效管理相关制度办法等组织。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按照预算绩效管理相关制度办法等组织。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按照预算绩效管理相关制度办法等组织。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按照预算绩效管理相关制度办法等组织。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联系电话：18392767108</w:t>
      </w:r>
    </w:p>
    <w:p>
      <w:pPr>
        <w:pStyle w:val="null3"/>
      </w:pPr>
      <w:r>
        <w:rPr>
          <w:rFonts w:ascii="仿宋_GB2312" w:hAnsi="仿宋_GB2312" w:cs="仿宋_GB2312" w:eastAsia="仿宋_GB2312"/>
        </w:rPr>
        <w:t>地址：西安市雁塔区南二环西段58号成长大厦8楼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聘请第三方机构对普通高中生均成本、本科高校生均成本、宝鸡城区公交公司运营补贴、咸阳主城区污水处理费等4个项目开展成本预算绩效分析，从明确绩效水平、优化业务流程、深化成本核算、测算财政支出、优化管理机制等方面，形成项目成本预算绩效分析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561,000.00</w:t>
      </w:r>
    </w:p>
    <w:p>
      <w:pPr>
        <w:pStyle w:val="null3"/>
      </w:pPr>
      <w:r>
        <w:rPr>
          <w:rFonts w:ascii="仿宋_GB2312" w:hAnsi="仿宋_GB2312" w:cs="仿宋_GB2312" w:eastAsia="仿宋_GB2312"/>
        </w:rPr>
        <w:t>采购包最高限价（元）: 561,000.00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普通高中生成本预算绩效管理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561,000.00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561,000.00</w:t>
      </w:r>
    </w:p>
    <w:p>
      <w:pPr>
        <w:pStyle w:val="null3"/>
      </w:pPr>
      <w:r>
        <w:rPr>
          <w:rFonts w:ascii="仿宋_GB2312" w:hAnsi="仿宋_GB2312" w:cs="仿宋_GB2312" w:eastAsia="仿宋_GB2312"/>
        </w:rPr>
        <w:t>采购包最高限价（元）: 561,000.00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本科高校生成本预算绩效管理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561,000.00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561,000.00</w:t>
      </w:r>
    </w:p>
    <w:p>
      <w:pPr>
        <w:pStyle w:val="null3"/>
      </w:pPr>
      <w:r>
        <w:rPr>
          <w:rFonts w:ascii="仿宋_GB2312" w:hAnsi="仿宋_GB2312" w:cs="仿宋_GB2312" w:eastAsia="仿宋_GB2312"/>
        </w:rPr>
        <w:t>采购包最高限价（元）: 561,000.00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对宝鸡城区公交运营补贴开展成本预算绩效管理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561,000.00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561,000.00</w:t>
      </w:r>
    </w:p>
    <w:p>
      <w:pPr>
        <w:pStyle w:val="null3"/>
      </w:pPr>
      <w:r>
        <w:rPr>
          <w:rFonts w:ascii="仿宋_GB2312" w:hAnsi="仿宋_GB2312" w:cs="仿宋_GB2312" w:eastAsia="仿宋_GB2312"/>
        </w:rPr>
        <w:t>采购包最高限价（元）: 561,000.00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对咸阳主城区污水处理费开展成本预算绩效管理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561,000.00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标的名称：普通高中生成本预算绩效管理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105" w:firstLine="440"/>
            </w:pPr>
            <w:r>
              <w:rPr>
                <w:rFonts w:ascii="仿宋_GB2312" w:hAnsi="仿宋_GB2312" w:cs="仿宋_GB2312" w:eastAsia="仿宋_GB2312"/>
                <w:sz w:val="22"/>
              </w:rPr>
              <w:t>有绩效评价和成本预算绩效分析经验；人员配置合理；组织管理稳定；实施方案科学；指标设置科学；现场调查科学；工作组织实施有效；征求意见采纳合理；成果结构规范；成果文字表述准确；关键信息或数据准确。</w:t>
            </w:r>
          </w:p>
          <w:p>
            <w:pPr>
              <w:pStyle w:val="null3"/>
              <w:spacing w:before="60"/>
              <w:ind w:left="105" w:firstLine="440"/>
            </w:pPr>
            <w:r>
              <w:rPr>
                <w:rFonts w:ascii="仿宋_GB2312" w:hAnsi="仿宋_GB2312" w:cs="仿宋_GB2312" w:eastAsia="仿宋_GB2312"/>
                <w:sz w:val="22"/>
              </w:rPr>
              <w:t>服务内容：乙方按照甲方要求对选取项目进行成本预算绩效管理分析。结合项目特点，收集分析资料，开展现场调研，实施调研分析，拟定分析指标体系，撰写并论证分析方案。组织实地座谈、问卷调查、数据分析、综合评价等工作，确定分析对象的产出完成情况和效益实现情况，充分运用作业成本法、最低成本法、净现值法等方法，开展成本效益分析，形成分析结果等，撰写分析报告，形成项目绩效指标和标准，以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、成本预算绩效管理工作指引等成果。</w:t>
            </w:r>
          </w:p>
          <w:p>
            <w:pPr>
              <w:pStyle w:val="null3"/>
              <w:jc w:val="left"/>
            </w:pPr>
            <w:r>
              <w:rPr>
                <w:rFonts w:ascii="仿宋_GB2312" w:hAnsi="仿宋_GB2312" w:cs="仿宋_GB2312" w:eastAsia="仿宋_GB2312"/>
                <w:sz w:val="22"/>
              </w:rPr>
              <w:t>成果形式：项目成本预算绩效分析报告、项目包含的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、相关类别成本预算绩效管理工作指引。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标的名称：本科高校生成本预算绩效管理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105" w:firstLine="440"/>
            </w:pPr>
            <w:r>
              <w:rPr>
                <w:rFonts w:ascii="仿宋_GB2312" w:hAnsi="仿宋_GB2312" w:cs="仿宋_GB2312" w:eastAsia="仿宋_GB2312"/>
                <w:sz w:val="22"/>
              </w:rPr>
              <w:t>有绩效评价和成本预算绩效分析经验；人员配置合理；组织管理稳定；实施方案科学；指标设置科学；现场调查科学；工作组织实施有效；征求意见采纳合理；成果结构规范；成果文字表述准确；关键信息或数据准确。</w:t>
            </w:r>
          </w:p>
          <w:p>
            <w:pPr>
              <w:pStyle w:val="null3"/>
              <w:spacing w:before="60"/>
              <w:ind w:left="105" w:firstLine="440"/>
            </w:pPr>
            <w:r>
              <w:rPr>
                <w:rFonts w:ascii="仿宋_GB2312" w:hAnsi="仿宋_GB2312" w:cs="仿宋_GB2312" w:eastAsia="仿宋_GB2312"/>
                <w:sz w:val="22"/>
              </w:rPr>
              <w:t>服务内容：乙方按照甲方要求对选取项目进行成本预算绩效管理分析。结合项目特点，收集分析资料，开展现场调研，实施调研分析，拟定分析指标体系，撰写并论证分析方案。组织实地座谈、问卷调查、数据分析、综合评价等工作，确定分析对象的产出完成情况和效益实现情况，充分运用作业成本法、最低成本法、净现值法等方法，开展成本效益分析，形成分析结果等，撰写分析报告，形成项目绩效指标和标准，以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、成本预算绩效管理工作指引等成果。</w:t>
            </w:r>
          </w:p>
          <w:p>
            <w:pPr>
              <w:pStyle w:val="null3"/>
              <w:jc w:val="left"/>
            </w:pPr>
            <w:r>
              <w:rPr>
                <w:rFonts w:ascii="仿宋_GB2312" w:hAnsi="仿宋_GB2312" w:cs="仿宋_GB2312" w:eastAsia="仿宋_GB2312"/>
                <w:sz w:val="22"/>
              </w:rPr>
              <w:t>成果形式：项目成本预算绩效分析报告、项目包含的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、相关类别成本预算绩效管理工作指引。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标的名称：对宝鸡城区公交运营补贴开展成本预算绩效管理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105" w:firstLine="440"/>
            </w:pPr>
            <w:r>
              <w:rPr>
                <w:rFonts w:ascii="仿宋_GB2312" w:hAnsi="仿宋_GB2312" w:cs="仿宋_GB2312" w:eastAsia="仿宋_GB2312"/>
                <w:sz w:val="22"/>
              </w:rPr>
              <w:t>有绩效评价和成本预算绩效分析经验；人员配置合理；组织管理稳定；实施方案科学；指标设置科学；现场调查科学；工作组织实施有效；征求意见采纳合理；成果结构规范；成果文字表述准确；关键信息或数据准确。</w:t>
            </w:r>
          </w:p>
          <w:p>
            <w:pPr>
              <w:pStyle w:val="null3"/>
              <w:spacing w:before="60"/>
              <w:ind w:left="105" w:firstLine="440"/>
            </w:pPr>
            <w:r>
              <w:rPr>
                <w:rFonts w:ascii="仿宋_GB2312" w:hAnsi="仿宋_GB2312" w:cs="仿宋_GB2312" w:eastAsia="仿宋_GB2312"/>
                <w:sz w:val="22"/>
              </w:rPr>
              <w:t>服务内容：乙方按照甲方要求对选取项目进行成本预算绩效管理分析。结合项目特点，收集分析资料，开展现场调研，实施调研分析，拟定分析指标体系，撰写并论证分析方案。组织实地座谈、问卷调查、数据分析、综合评价等工作，确定分析对象的产出完成情况和效益实现情况，充分运用作业成本法、最低成本法、净现值法等方法，开展成本效益分析，形成分析结果等，撰写分析报告，形成项目绩效指标和标准，以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、成本预算绩效管理工作指引等成果。</w:t>
            </w:r>
          </w:p>
          <w:p>
            <w:pPr>
              <w:pStyle w:val="null3"/>
              <w:jc w:val="left"/>
            </w:pPr>
            <w:r>
              <w:rPr>
                <w:rFonts w:ascii="仿宋_GB2312" w:hAnsi="仿宋_GB2312" w:cs="仿宋_GB2312" w:eastAsia="仿宋_GB2312"/>
                <w:sz w:val="22"/>
              </w:rPr>
              <w:t>成果形式：项目成本预算绩效分析报告、项目包含的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、相关类别成本预算绩效管理工作指引。</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标的名称：对咸阳主城区污水处理费开展成本预算绩效管理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105" w:firstLine="440"/>
            </w:pPr>
            <w:r>
              <w:rPr>
                <w:rFonts w:ascii="仿宋_GB2312" w:hAnsi="仿宋_GB2312" w:cs="仿宋_GB2312" w:eastAsia="仿宋_GB2312"/>
                <w:sz w:val="22"/>
              </w:rPr>
              <w:t>有绩效评价和成本预算绩效分析经验；人员配置合理；组织管理稳定；实施方案科学；指标设置科学；现场调查科学；工作组织实施有效；征求意见采纳合理；成果结构规范；成果文字表述准确；关键信息或数据准确。</w:t>
            </w:r>
          </w:p>
          <w:p>
            <w:pPr>
              <w:pStyle w:val="null3"/>
              <w:spacing w:before="60"/>
              <w:ind w:left="105" w:firstLine="440"/>
            </w:pPr>
            <w:r>
              <w:rPr>
                <w:rFonts w:ascii="仿宋_GB2312" w:hAnsi="仿宋_GB2312" w:cs="仿宋_GB2312" w:eastAsia="仿宋_GB2312"/>
                <w:sz w:val="22"/>
              </w:rPr>
              <w:t>服务内容：乙方按照甲方要求对选取项目进行成本预算绩效管理分析。结合项目特点，收集分析资料，开展现场调研，实施调研分析，拟定分析指标体系，撰写并论证分析方案。组织实地座谈、问卷调查、数据分析、综合评价等工作，确定分析对象的产出完成情况和效益实现情况，充分运用作业成本法、最低成本法、净现值法等方法，开展成本效益分析，形成分析结果等，撰写分析报告，形成项目绩效指标和标准，以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、成本预算绩效管理工作指引等成果。</w:t>
            </w:r>
          </w:p>
          <w:p>
            <w:pPr>
              <w:pStyle w:val="null3"/>
              <w:jc w:val="left"/>
            </w:pPr>
            <w:r>
              <w:rPr>
                <w:rFonts w:ascii="仿宋_GB2312" w:hAnsi="仿宋_GB2312" w:cs="仿宋_GB2312" w:eastAsia="仿宋_GB2312"/>
                <w:sz w:val="22"/>
              </w:rPr>
              <w:t>成果形式：项目成本预算绩效分析报告、项目包含的</w:t>
            </w:r>
            <w:r>
              <w:rPr>
                <w:rFonts w:ascii="仿宋_GB2312" w:hAnsi="仿宋_GB2312" w:cs="仿宋_GB2312" w:eastAsia="仿宋_GB2312"/>
                <w:sz w:val="22"/>
              </w:rPr>
              <w:t>成本定额标准和预算支出标准</w:t>
            </w:r>
            <w:r>
              <w:rPr>
                <w:rFonts w:ascii="仿宋_GB2312" w:hAnsi="仿宋_GB2312" w:cs="仿宋_GB2312" w:eastAsia="仿宋_GB2312"/>
                <w:sz w:val="22"/>
              </w:rPr>
              <w:t>、相关类别成本预算绩效管理工作指引。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前，需向采购人提交完成性成果，即：项目成本预算绩效分析报告、项目包含的成本定额标准和预算支出标准、相关类别成本预算绩效管理工作指引。（书面及电子文档）。并于2025年11月1日-2026年10月31日之间，提供项目相关的售后服务，包括但不限于围绕本项目开展的数据分析、统计汇总等相关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10月31日前，需向采购人提交完成性成果，即：项目成本预算绩效分析报告、项目包含的成本定额标准和预算支出标准、相关类别成本预算绩效管理工作指引。（书面及电子文档）。并于2025年11月1日-2026年10月31日之间，提供项目相关的售后服务，包括但不限于围绕本项目开展的数据分析、统计汇总等相关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10月31日前，需向采购人提交完成性成果，即：项目成本预算绩效分析报告、项目包含的成本定额标准和预算支出标准、相关类别成本预算绩效管理工作指引。（书面及电子文档）。并于2025年11月1日-2026年10月31日之间，提供项目相关的售后服务，包括但不限于围绕本项目开展的数据分析、统计汇总等相关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10月31日前，需向采购人提交完成性成果，即：项目成本预算绩效分析报告、项目包含的成本定额标准和预算支出标准、相关类别成本预算绩效管理工作指引。（书面及电子文档）。并于2025年11月1日-2026年10月31日之间，提供项目相关的售后服务，包括但不限于围绕本项目开展的数据分析、统计汇总等相关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包括但不限于合同协议文本、陕西省预算绩效管理有关规定办法、成本绩效管理工作方案、基础数据表、工作底稿、报告、支出标准、操作指引及汇报材料、专家意见、内部审核记录、征求意见及采纳情况等。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包括但不限于合同协议文本、陕西省预算绩效管理有关规定办法、成本绩效管理工作方案、基础数据表、工作底稿、报告、支出标准、操作指引及汇报材料、专家意见、内部审核记录、征求意见及采纳情况等。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包括但不限于合同协议文本、陕西省预算绩效管理有关规定办法、成本绩效管理工作方案、基础数据表、工作底稿、报告、支出标准、操作指引及汇报材料、专家意见、内部审核记录、征求意见及采纳情况等。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包括但不限于合同协议文本、陕西省预算绩效管理有关规定办法、成本绩效管理工作方案、基础数据表、工作底稿、报告、支出标准、操作指引及汇报材料、专家意见、内部审核记录、征求意见及采纳情况等。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首期款：签订合同后30个自然日内，供应商提供与支付金额等额的增值税普通发票，采购人确认后启动首期款支付流程，支付合同总金额的50%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提供供应商2024年5月1日至今已缴存的任意一个月的社会保障资金缴存单据或社保机构开具的社会保险参保缴费情况证明；依法不需要缴纳社会保障资金的应提供相关文件证明；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前三年内无重大违法记录；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提供供应商2024年5月1日至今已缴存的任意一个月的社会保障资金缴存单据或社保机构开具的社会保险参保缴费情况证明；依法不需要缴纳社会保障资金的应提供相关文件证明；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前三年内无重大违法记录；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提供供应商2024年5月1日至今已缴存的任意一个月的社会保障资金缴存单据或社保机构开具的社会保险参保缴费情况证明；依法不需要缴纳社会保障资金的应提供相关文件证明；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前三年内无重大违法记录；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提供供应商2024年5月1日至今已缴存的任意一个月的社会保障资金缴存单据或社保机构开具的社会保险参保缴费情况证明；依法不需要缴纳社会保障资金的应提供相关文件证明；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前三年内无重大违法记录；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（1）交付时间满足磋商文件要求 （2）交付地点满足磋商文件要求 （3）磋商有效期：满足磋商文件中的规定。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（1）交付时间满足磋商文件要求 （2）交付地点满足磋商文件要求 （3）磋商有效期：满足磋商文件中的规定。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（1）交付时间满足磋商文件要求 （2）交付地点满足磋商文件要求 （3）磋商有效期：满足磋商文件中的规定。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（1）交付时间满足磋商文件要求 （2）交付地点满足磋商文件要求 （3）磋商有效期：满足磋商文件中的规定。</w:t>
            </w:r>
          </w:p>
        </w:tc>
        <w:tc>
          <w:tcPr>
            <w:tcW w:type="dxa" w:w="1661"/>
          </w:tcPr>
          <w:p>
            <w:pPr>
              <w:pStyle w:val="null3"/>
            </w:pPr>
            <w:r>
              <w:rPr>
                <w:rFonts w:ascii="仿宋_GB2312" w:hAnsi="仿宋_GB2312" w:cs="仿宋_GB2312" w:eastAsia="仿宋_GB2312"/>
              </w:rPr>
              <w:t>响应文件封面 业绩一览表.docx 服务内容及服务邀请应答表 商务应答表 标的清单 报价表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需求理解方案</w:t>
            </w:r>
          </w:p>
        </w:tc>
        <w:tc>
          <w:tcPr>
            <w:tcW w:type="dxa" w:w="2492"/>
          </w:tcPr>
          <w:p>
            <w:pPr>
              <w:pStyle w:val="null3"/>
            </w:pPr>
            <w:r>
              <w:rPr>
                <w:rFonts w:ascii="仿宋_GB2312" w:hAnsi="仿宋_GB2312" w:cs="仿宋_GB2312" w:eastAsia="仿宋_GB2312"/>
              </w:rPr>
              <w:t>1、供应商对本项目有充分的了解，能全面理解采购人需求，需求理解方案（包括但不限于以下内容：成本预算绩效管理服务内容、标准要求、工作规范等）。 ①方案能够充分保障项目质量，完整、严谨、科学计15分； ②方案能够保障项目质量，方案较完整、严谨、科学计11分； ③方案基本保障项目质量，方案不够完整、不够严谨计分7分； ④方案难以保障项目质量，完整性差、不科学计2分。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针对本项目提供完整、具体可行的成本预算绩效管理工作流程。能够按照工作内容全面梳理工作流程，流程清晰、方法得当，可行性强，能够按照工作内容梳理出工作流程，流程清晰、可行，计10分； 能较好按照工作内容梳理出工作流程，流程基本清晰，计8分； 能按照工作内容梳理出工作流程，流程一般清晰，可行性一般，计6分 未按照工作内容梳理工作流程，流程不清晰、方法不得当，无可行性，计2分；未提供或内容无关不计分。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供应商提出针对本项目的重点、难点分析及针对本项目的重点、难点的实施对策，根据分析的全面性及对策的针对性评审。 1、全面科学、针对性强，计5分。 2、较全面合理、针对性一般计3分。 3、全面性较差，无针对性计1分。 注：未提供或内容与本项目无关的不得分。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1.拟派项目负责人（1人）具有本科及以上学历，得1分；其他不得分。 2.从业经验：项目负责人具有类似从业经验（提供2022年1月1日至今的类似项目从业经验证明材料(注:供应商需提供负责人项目经验清单并加盖供应商公章。清单需能体现出委托单位名称、项目名称、项目负责人名字 , 否则不予承认，清单一经发现伪造，供应商自行承担相关后果。)每提供一项计1分，最高得3分；不满足或未提供不得分。 3、职称要求 ：具有中级及以上职称得1分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对本项目提供的人员配备情况，项目团队专业，有明确的组织形式、人员结构配置合理、职责任务明确、分工合理，能够确保项目顺利实施，按照以下要求评审： 1.工作组人员配备数量满足本项目要求（至少6人，含项目负责人），得4分。 2.编制组人员中（除项目负责人外）每具有1名高级职称的得2分，中级职称的得1分，最多得6分； 3.编制组人员数量不足6人（含项目负责人）的、未提供或内容与本项目无关的不得分。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1、绩效管理工作各阶段进度计划安排详细、合理，与工作内容吻合，有确保在服务期限内完成目标工作的具体执行方案，得10分。 2、各阶段进度计划安排较详细、合理，与工作内容较吻合，有确保在服务期限内完成目标工作的执行方案得8分。 3、项目各阶段进度计划安排简单，可行性一般，得6分。 4、项目各阶段安排可行性较差，且无针对性得2分。 注：未提供或内容与本项目无关的不得分。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供应商具有相关的保密制度措施及保密承诺等。 1、承诺明确清晰，保密制度完善、合理，计5分； 2、承诺明确清晰，保密制度较为完善、合理性较差计2分； 注：未提供承诺或措施内容与本项目无关的不得分。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针对项目的顺利实施，提供具体、可行的合理化建议。内容具体、建议合理得5分；表达较为明确、建议较为合理得2分。未提供或内容完全脱离项目实际的不得分。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供应商提供具体实施措施及服务响应时间承诺函（加盖供应商公章）。内容完善合理得5分；服务内容不完善合理性一般得2分；未提供或内容无关不得分。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有详尽可行的售后服务方案，包括但不限于售后服务内容、响应时间、服务承诺等。方案内容详尽，措施合理，可行性强，得5分；方案较为完善，措施较为合理，具有一定可行性，得3分；方案内容不全面，可行性较差，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提供供应商2022年1月1日至今（以合同签订日期为准）类似项目业绩合同，每份计3分，满分15分。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需求理解方案</w:t>
            </w:r>
          </w:p>
        </w:tc>
        <w:tc>
          <w:tcPr>
            <w:tcW w:type="dxa" w:w="2492"/>
          </w:tcPr>
          <w:p>
            <w:pPr>
              <w:pStyle w:val="null3"/>
            </w:pPr>
            <w:r>
              <w:rPr>
                <w:rFonts w:ascii="仿宋_GB2312" w:hAnsi="仿宋_GB2312" w:cs="仿宋_GB2312" w:eastAsia="仿宋_GB2312"/>
              </w:rPr>
              <w:t>1、供应商对本项目有充分的了解，能全面理解采购人需求，需求理解方案（包括但不限于以下内容：成本预算绩效管理服务内容、标准要求、工作规范等）。 ①方案能够充分保障项目质量，完整、严谨、科学计15分； ②方案能够保障项目质量，方案较完整、严谨、科学计11分； ③方案基本保障项目质量，方案不够完整、不够严谨计分7分； ④方案难以保障项目质量，完整性差、不科学计2分。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针对本项目提供完整、具体可行的成本预算绩效管理工作流程。能够按照工作内容全面梳理工作流程，流程清晰、方法得当，可行性强，能够按照工作内容梳理出工作流程，流程清晰、可行，计10分； 能较好按照工作内容梳理出工作流程，流程基本清晰，计8分； 能按照工作内容梳理出工作流程，流程一般清晰，可行性一般，计6分 未按照工作内容梳理工作流程，流程不清晰、方法不得当，无可行性，计2分；未提供或内容无关不计分。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供应商提出针对本项目的重点、难点分析及针对本项目的重点、难点的实施对策，根据分析的全面性及对策的针对性评审。 1、全面科学、针对性强，计5分。 2、较全面合理、针对性一般计3分。 3、全面性较差，无针对性计1分。 注：未提供或内容与本项目无关的不得分。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1.拟派项目负责人（1人）具有本科及以上学历，得1分；其他不得分。 2.从业经验：项目负责人具有类似从业经验（提供2022年1月1日至今的类似项目从业经验证明材料(注:供应商需提供负责人项目经验清单并加盖供应商公章。清单需能体现出委托单位名称、项目名称、项目负责人名字 , 否则不予承认，清单一经发现伪造，供应商自行承担相关后果。)每提供一项计1分，最高得3分；不满足或未提供不得分。 3、职称要求 ：具有中级及以上职称得1分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对本项目提供的人员配备情况，项目团队专业，有明确的组织形式、人员结构配置合理、职责任务明确、分工合理，能够确保项目顺利实施，按照以下要求评审： 1.工作组人员配备数量满足本项目要求（至少6人，含项目负责人），得4分。 2.编制组人员中（除项目负责人外）每具有1名高级职称的得2分，中级职称的得1分，最多得6分； 3.编制组人员数量不足6人（含项目负责人）的、未提供或内容与本项目无关的不得分。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1、绩效管理工作各阶段进度计划安排详细、合理，与工作内容吻合，有确保在服务期限内完成目标工作的具体执行方案，得10分。 2、各阶段进度计划安排较详细、合理，与工作内容较吻合，有确保在服务期限内完成目标工作的执行方案得8分。 3、项目各阶段进度计划安排简单，可行性一般，得6分。 4、项目各阶段安排可行性较差，且无针对性得2分。 注：未提供或内容与本项目无关的不得分。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供应商具有相关的保密制度措施及保密承诺等。 1、承诺明确清晰，保密制度完善、合理，计5分； 2、承诺明确清晰，保密制度较为完善、合理性较差计2分； 注：未提供承诺或措施内容与本项目无关的不得分。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针对项目的顺利实施，提供具体、可行的合理化建议。内容具体、建议合理得5分；表达较为明确、建议较为合理得2分。未提供或内容完全脱离项目实际的不得分。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供应商提供具体实施措施及服务响应时间承诺函（加盖供应商公章）。内容完善合理得5分；服务内容不完善合理性一般得2分；未提供或内容无关不得分。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有详尽可行的售后服务方案，包括但不限于售后服务内容、响应时间、服务承诺等。方案内容详尽，措施合理，可行性强，得5分；方案较为完善，措施较为合理，具有一定可行性，得3分；方案内容不全面，可行性较差，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提供供应商2022年1月1日至今（以合同签订日期为准）类似项目业绩合同，每份计3分，满分15分。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需求理解方案</w:t>
            </w:r>
          </w:p>
        </w:tc>
        <w:tc>
          <w:tcPr>
            <w:tcW w:type="dxa" w:w="2492"/>
          </w:tcPr>
          <w:p>
            <w:pPr>
              <w:pStyle w:val="null3"/>
            </w:pPr>
            <w:r>
              <w:rPr>
                <w:rFonts w:ascii="仿宋_GB2312" w:hAnsi="仿宋_GB2312" w:cs="仿宋_GB2312" w:eastAsia="仿宋_GB2312"/>
              </w:rPr>
              <w:t>1、供应商对本项目有充分的了解，能全面理解采购人需求，需求理解方案（包括但不限于以下内容：成本预算绩效管理服务内容、标准要求、工作规范等）。 ①方案能够充分保障项目质量，完整、严谨、科学计15分； ②方案能够保障项目质量，方案较完整、严谨、科学计11分； ③方案基本保障项目质量，方案不够完整、不够严谨计分7分； ④方案难以保障项目质量，完整性差、不科学计2分。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针对本项目提供完整、具体可行的成本预算绩效管理工作流程。能够按照工作内容全面梳理工作流程，流程清晰、方法得当，可行性强，能够按照工作内容梳理出工作流程，流程清晰、可行，计10分； 能较好按照工作内容梳理出工作流程，流程基本清晰，计8分； 能按照工作内容梳理出工作流程，流程一般清晰，可行性一般，计6分 未按照工作内容梳理工作流程，流程不清晰、方法不得当，无可行性，计2分；未提供或内容无关不计分。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供应商提出针对本项目的重点、难点分析及针对本项目的重点、难点的实施对策，根据分析的全面性及对策的针对性评审。 1、全面科学、针对性强，计5分。 2、较全面合理、针对性一般计3分。 3、全面性较差，无针对性计1分。 注：未提供或内容与本项目无关的不得分。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1.拟派项目负责人（1人）具有本科及以上学历，得1分；其他不得分。 2.从业经验：项目负责人具有类似从业经验（提供2022年1月1日至今的类似项目从业经验证明材料(注:供应商需提供负责人项目经验清单并加盖供应商公章。清单需能体现出委托单位名称、项目名称、项目负责人名字 , 否则不予承认，清单一经发现伪造，供应商自行承担相关后果。)每提供一项计1分，最高得3分；不满足或未提供不得分。 3、职称要求 ：具有中级及以上职称得1分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对本项目提供的人员配备情况，项目团队专业，有明确的组织形式、人员结构配置合理、职责任务明确、分工合理，能够确保项目顺利实施，按照以下要求评审： 1.工作组人员配备数量满足本项目要求（至少6人，含项目负责人），得4分。 2.编制组人员中（除项目负责人外）每具有1名高级职称的得2分，中级职称的得1分，最多得6分； 3.编制组人员数量不足6人（含项目负责人）的、未提供或内容与本项目无关的不得分。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1、绩效管理工作各阶段进度计划安排详细、合理，与工作内容吻合，有确保在服务期限内完成目标工作的具体执行方案，得10分。 2、各阶段进度计划安排较详细、合理，与工作内容较吻合，有确保在服务期限内完成目标工作的执行方案得8分。 3、项目各阶段进度计划安排简单，可行性一般，得6分。 4、项目各阶段安排可行性较差，且无针对性得2分。 注：未提供或内容与本项目无关的不得分。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供应商具有相关的保密制度措施及保密承诺等。 1、承诺明确清晰，保密制度完善、合理，计5分； 2、承诺明确清晰，保密制度较为完善、合理性较差计2分； 注：未提供承诺或措施内容与本项目无关的不得分。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针对项目的顺利实施，提供具体、可行的合理化建议。内容具体、建议合理得5分；表达较为明确、建议较为合理得2分。未提供或内容完全脱离项目实际的不得分。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供应商提供具体实施措施及服务响应时间承诺函（加盖供应商公章）。内容完善合理得5分；服务内容不完善合理性一般得2分；未提供或内容无关不得分。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有详尽可行的售后服务方案，包括但不限于售后服务内容、响应时间、服务承诺等。方案内容详尽，措施合理，可行性强，得5分；方案较为完善，措施较为合理，具有一定可行性，得3分；方案内容不全面，可行性较差，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提供供应商2022年1月1日至今（以合同签订日期为准）类似项目业绩合同，每份计3分，满分15分。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需求理解方案</w:t>
            </w:r>
          </w:p>
        </w:tc>
        <w:tc>
          <w:tcPr>
            <w:tcW w:type="dxa" w:w="2492"/>
          </w:tcPr>
          <w:p>
            <w:pPr>
              <w:pStyle w:val="null3"/>
            </w:pPr>
            <w:r>
              <w:rPr>
                <w:rFonts w:ascii="仿宋_GB2312" w:hAnsi="仿宋_GB2312" w:cs="仿宋_GB2312" w:eastAsia="仿宋_GB2312"/>
              </w:rPr>
              <w:t>1、供应商对本项目有充分的了解，能全面理解采购人需求，需求理解方案（包括但不限于以下内容：成本预算绩效管理服务内容、标准要求、工作规范等）。 ①方案能够充分保障项目质量，完整、严谨、科学计15分； ②方案能够保障项目质量，方案较完整、严谨、科学计11分； ③方案基本保障项目质量，方案不够完整、不够严谨计分7分； ④方案难以保障项目质量，完整性差、不科学计2分。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针对本项目提供完整、具体可行的成本预算绩效管理工作流程。能够按照工作内容全面梳理工作流程，流程清晰、方法得当，可行性强，能够按照工作内容梳理出工作流程，流程清晰、可行，计10分； 能较好按照工作内容梳理出工作流程，流程基本清晰，计8分； 能按照工作内容梳理出工作流程，流程一般清晰，可行性一般，计6分 未按照工作内容梳理工作流程，流程不清晰、方法不得当，无可行性，计2分；未提供或内容无关不计分。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供应商提出针对本项目的重点、难点分析及针对本项目的重点、难点的实施对策，根据分析的全面性及对策的针对性评审。 1、全面科学、针对性强，计5分。 2、较全面合理、针对性一般计3分。 3、全面性较差，无针对性计1分。 注：未提供或内容与本项目无关的不得分。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1.拟派项目负责人（1人）具有本科及以上学历，得1分；其他不得分。 2.从业经验：项目负责人具有类似从业经验（提供2022年1月1日至今的类似项目从业经验证明材料(注:供应商需提供负责人项目经验清单并加盖供应商公章。清单需能体现出委托单位名称、项目名称、项目负责人名字 , 否则不予承认，清单一经发现伪造，供应商自行承担相关后果。)每提供一项计1分，最高得3分；不满足或未提供不得分。 3、职称要求 ：具有中级及以上职称得1分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对本项目提供的人员配备情况，项目团队专业，有明确的组织形式、人员结构配置合理、职责任务明确、分工合理，能够确保项目顺利实施，按照以下要求评审： 1.工作组人员配备数量满足本项目要求（至少6人，含项目负责人），得4分。 2.编制组人员中（除项目负责人外）每具有1名高级职称的得2分，中级职称的得1分，最多得6分； 3.编制组人员数量不足6人（含项目负责人）的、未提供或内容与本项目无关的不得分。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1、绩效管理工作各阶段进度计划安排详细、合理，与工作内容吻合，有确保在服务期限内完成目标工作的具体执行方案，得10分。 2、各阶段进度计划安排较详细、合理，与工作内容较吻合，有确保在服务期限内完成目标工作的执行方案得8分。 3、项目各阶段进度计划安排简单，可行性一般，得6分。 4、项目各阶段安排可行性较差，且无针对性得2分。 注：未提供或内容与本项目无关的不得分。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供应商具有相关的保密制度措施及保密承诺等。 1、承诺明确清晰，保密制度完善、合理，计5分； 2、承诺明确清晰，保密制度较为完善、合理性较差计2分； 注：未提供承诺或措施内容与本项目无关的不得分。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针对项目的顺利实施，提供具体、可行的合理化建议。内容具体、建议合理得5分；表达较为明确、建议较为合理得2分。未提供或内容完全脱离项目实际的不得分。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供应商提供具体实施措施及服务响应时间承诺函（加盖供应商公章）。内容完善合理得5分；服务内容不完善合理性一般得2分；未提供或内容无关不得分。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有详尽可行的售后服务方案，包括但不限于售后服务内容、响应时间、服务承诺等。方案内容详尽，措施合理，可行性强，得5分；方案较为完善，措施较为合理，具有一定可行性，得3分；方案内容不全面，可行性较差，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提供供应商2022年1月1日至今（以合同签订日期为准）类似项目业绩合同，每份计3分，满分15分。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详见附件：成本试点协议书.docx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