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版本号：HXGJXM2025-ZC-CS101320250523001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“十五五”水路交通发展规划编制及政策研究项目(二次)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HXGJXM2025-ZC-CS1013</w:t>
      </w:r>
      <w:r>
        <w:br/>
      </w:r>
      <w:r>
        <w:br/>
      </w:r>
      <w:r>
        <w:br/>
      </w:r>
    </w:p>
    <w:p>
      <w:pPr>
        <w:pStyle w:val="null3"/>
        <w:jc w:val="center"/>
        <w:outlineLvl w:val="2"/>
      </w:pPr>
      <w:r>
        <w:rPr>
          <w:rFonts w:ascii="仿宋_GB2312" w:hAnsi="仿宋_GB2312" w:cs="仿宋_GB2312" w:eastAsia="仿宋_GB2312"/>
          <w:sz w:val="28"/>
          <w:b/>
        </w:rPr>
        <w:t>陕西省水路交通事业发展中心</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陕西省水路交通事业发展中心</w:t>
      </w:r>
      <w:r>
        <w:rPr>
          <w:rFonts w:ascii="仿宋_GB2312" w:hAnsi="仿宋_GB2312" w:cs="仿宋_GB2312" w:eastAsia="仿宋_GB2312"/>
        </w:rPr>
        <w:t>委托，拟对</w:t>
      </w:r>
      <w:r>
        <w:rPr>
          <w:rFonts w:ascii="仿宋_GB2312" w:hAnsi="仿宋_GB2312" w:cs="仿宋_GB2312" w:eastAsia="仿宋_GB2312"/>
        </w:rPr>
        <w:t>“十五五”水路交通发展规划编制及政策研究项目(二次)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“十五五”水路交通发展规划编制及政策研究项目(二次)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梳理陕西省水运发展存在的问题和面临的形势要求，准确把握“十五五”期陕西省水运发展的阶段性特征，聚焦打通航道堵点卡点、筑牢水运发展基础，强化港口枢纽功能、提升内外联通的物流服务水平，促进港航船支持保障协同，提供经济高效、安全便捷、绿色智慧水运服务，统筹需要与可能、速度规模与质量效益，梳理重点建设项目，科学合理地安排建设时序，推动陕西水运健康持续发展。结合水运优势范围，提出陕西省水运“十五五”发展目标、思路、重点，详细规划水运发展及重点工程、实施计划、对策措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3、磋商保证金：在规定时间内缴纳磋商保证金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陕西省水路交通事业发展中心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029-87341120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宋文倩、康敏茹、张艳萍、陆文科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代理服务费收费标准：参照国家计委关于印发《招标代理服务收费管理暂行办法》（计价格[2002]1980号）通知的有关规定标准执行，招标代理服务费不足8000元按8000元收取。 成交单位在领取成交通知书前，须向采购代理机构一次性支付招标代理服务费。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陕西省水路交通事业发展中心</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陕西省水路交通事业发展中心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陕西省水路交通事业发展中心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联系人：宋文倩、康敏茹、张艳萍、陆文科</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梳理陕西省水运发展存在的问题和面临的形势要求，准确把握“十五五”期陕西省水运发展的阶段性特征，聚焦打通航道堵点卡点、筑牢水运发展基础，强化港口枢纽功能、提升内外联通的物流服务水平，促进港航船支持保障协同，提供经济高效、安全便捷、绿色智慧水运服务，统筹需要与可能、速度规模与质量效益，梳理重点建设项目，科学合理地安排建设时序，推动陕西水运健康持续发展。结合水运优势范围，提出陕西省水运“十五五”发展目标、思路、重点，详细规划水运发展及重点工程、实施计划、对策措施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技术支持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标的名称：技术支持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一、研究范围</w:t>
            </w:r>
          </w:p>
          <w:p>
            <w:pPr>
              <w:pStyle w:val="null3"/>
              <w:jc w:val="both"/>
            </w:pPr>
            <w:r>
              <w:rPr>
                <w:rFonts w:ascii="仿宋_GB2312" w:hAnsi="仿宋_GB2312" w:cs="仿宋_GB2312" w:eastAsia="仿宋_GB2312"/>
                <w:sz w:val="21"/>
              </w:rPr>
              <w:t>本项目研究范围为陕西省全域。</w:t>
            </w:r>
          </w:p>
          <w:p>
            <w:pPr>
              <w:pStyle w:val="null3"/>
            </w:pPr>
            <w:r>
              <w:rPr>
                <w:rFonts w:ascii="仿宋_GB2312" w:hAnsi="仿宋_GB2312" w:cs="仿宋_GB2312" w:eastAsia="仿宋_GB2312"/>
                <w:sz w:val="21"/>
                <w:b/>
              </w:rPr>
              <w:t>二、项目内容及要求</w:t>
            </w:r>
          </w:p>
          <w:p>
            <w:pPr>
              <w:pStyle w:val="null3"/>
            </w:pPr>
            <w:r>
              <w:rPr>
                <w:rFonts w:ascii="仿宋_GB2312" w:hAnsi="仿宋_GB2312" w:cs="仿宋_GB2312" w:eastAsia="仿宋_GB2312"/>
                <w:sz w:val="21"/>
                <w:b/>
              </w:rPr>
              <w:t>1、规划</w:t>
            </w:r>
            <w:r>
              <w:rPr>
                <w:rFonts w:ascii="仿宋_GB2312" w:hAnsi="仿宋_GB2312" w:cs="仿宋_GB2312" w:eastAsia="仿宋_GB2312"/>
                <w:sz w:val="21"/>
                <w:b/>
              </w:rPr>
              <w:t>内容</w:t>
            </w:r>
          </w:p>
          <w:p>
            <w:pPr>
              <w:pStyle w:val="null3"/>
              <w:ind w:firstLine="400"/>
            </w:pPr>
            <w:r>
              <w:rPr>
                <w:rFonts w:ascii="仿宋_GB2312" w:hAnsi="仿宋_GB2312" w:cs="仿宋_GB2312" w:eastAsia="仿宋_GB2312"/>
                <w:sz w:val="21"/>
              </w:rPr>
              <w:t>坚持目标导向和问题导向相结合原则，以落实“两个纲要”和全国港口航道布局规划目标任务为重点，打通航道堵点卡点，建设高标准对外水运通道，强化港口枢纽功能，完善支持保障体系，促进水运降本增效和智慧化绿色发展，适应陕西省经济社会发展要求；统筹需要与可能、速度规模与质量效益，系统谋划，突出重点，科学合理地安排水运项目建设时序，聚焦建设陕西省高质量水运体系。</w:t>
            </w:r>
          </w:p>
          <w:p>
            <w:pPr>
              <w:pStyle w:val="null3"/>
              <w:ind w:firstLine="400"/>
            </w:pPr>
            <w:r>
              <w:rPr>
                <w:rFonts w:ascii="仿宋_GB2312" w:hAnsi="仿宋_GB2312" w:cs="仿宋_GB2312" w:eastAsia="仿宋_GB2312"/>
                <w:sz w:val="21"/>
              </w:rPr>
              <w:t>贯彻落实“两个纲要”和全国港口与航道布局规划制定的2035年目标，提出陕西省水运“十五五”期规划指导思想、基本原则和规划目标。聚焦航道堵点卡点等突出问题，锚定中长期水运发展目标，从优化完善港航基础设施、服务国家重大战略和陕西省重大部署、促进降本增效，提高安全保障等方面研究提出主要任务、建设重点，并从资金筹集、要素保障、体制机制等方面提出保障措施。</w:t>
            </w:r>
          </w:p>
          <w:p>
            <w:pPr>
              <w:pStyle w:val="null3"/>
            </w:pPr>
            <w:r>
              <w:rPr>
                <w:rFonts w:ascii="仿宋_GB2312" w:hAnsi="仿宋_GB2312" w:cs="仿宋_GB2312" w:eastAsia="仿宋_GB2312"/>
                <w:sz w:val="21"/>
                <w:b/>
              </w:rPr>
              <w:t>2、规划目标</w:t>
            </w:r>
          </w:p>
          <w:p>
            <w:pPr>
              <w:pStyle w:val="null3"/>
            </w:pPr>
            <w:r>
              <w:rPr>
                <w:rFonts w:ascii="仿宋_GB2312" w:hAnsi="仿宋_GB2312" w:cs="仿宋_GB2312" w:eastAsia="仿宋_GB2312"/>
                <w:sz w:val="21"/>
              </w:rPr>
              <w:t>（1）1.水运“十五五”发展阶段性特征</w:t>
            </w:r>
          </w:p>
          <w:p>
            <w:pPr>
              <w:pStyle w:val="null3"/>
              <w:ind w:firstLine="400"/>
            </w:pPr>
            <w:r>
              <w:rPr>
                <w:rFonts w:ascii="仿宋_GB2312" w:hAnsi="仿宋_GB2312" w:cs="仿宋_GB2312" w:eastAsia="仿宋_GB2312"/>
                <w:sz w:val="21"/>
              </w:rPr>
              <w:t>分析提出陕西省“十五五”期水运发展阶段性特征。</w:t>
            </w:r>
          </w:p>
          <w:p>
            <w:pPr>
              <w:pStyle w:val="null3"/>
              <w:numPr>
                <w:ilvl w:val="0"/>
                <w:numId w:val="1"/>
              </w:numPr>
            </w:pPr>
            <w:r>
              <w:rPr>
                <w:rFonts w:ascii="仿宋_GB2312" w:hAnsi="仿宋_GB2312" w:cs="仿宋_GB2312" w:eastAsia="仿宋_GB2312"/>
                <w:sz w:val="21"/>
              </w:rPr>
              <w:t>指导思想</w:t>
            </w:r>
          </w:p>
          <w:p>
            <w:pPr>
              <w:pStyle w:val="null3"/>
              <w:ind w:firstLine="400"/>
            </w:pPr>
            <w:r>
              <w:rPr>
                <w:rFonts w:ascii="仿宋_GB2312" w:hAnsi="仿宋_GB2312" w:cs="仿宋_GB2312" w:eastAsia="仿宋_GB2312"/>
                <w:sz w:val="21"/>
              </w:rPr>
              <w:t>全面贯彻新发展理念，统筹兼顾，科学规划，构建高质量的水运发展体系。</w:t>
            </w:r>
          </w:p>
          <w:p>
            <w:pPr>
              <w:pStyle w:val="null3"/>
              <w:numPr>
                <w:ilvl w:val="0"/>
                <w:numId w:val="1"/>
              </w:numPr>
            </w:pPr>
            <w:r>
              <w:rPr>
                <w:rFonts w:ascii="仿宋_GB2312" w:hAnsi="仿宋_GB2312" w:cs="仿宋_GB2312" w:eastAsia="仿宋_GB2312"/>
                <w:sz w:val="21"/>
              </w:rPr>
              <w:t>规划原则</w:t>
            </w:r>
          </w:p>
          <w:p>
            <w:pPr>
              <w:pStyle w:val="null3"/>
              <w:ind w:firstLine="400"/>
            </w:pPr>
            <w:r>
              <w:rPr>
                <w:rFonts w:ascii="仿宋_GB2312" w:hAnsi="仿宋_GB2312" w:cs="仿宋_GB2312" w:eastAsia="仿宋_GB2312"/>
                <w:sz w:val="21"/>
              </w:rPr>
              <w:t>遵循落实“两纲要”畅通道、强枢纽的目标任务，坚持服务大局；适应高质量发展需求，坚持优化供给；强调生态环境保护和推动绿色发展，坚持集约绿色；构建智能、平安、绿色、共享交通，坚持智慧安全发展。</w:t>
            </w:r>
          </w:p>
          <w:p>
            <w:pPr>
              <w:pStyle w:val="null3"/>
              <w:numPr>
                <w:ilvl w:val="0"/>
                <w:numId w:val="1"/>
              </w:numPr>
            </w:pPr>
            <w:r>
              <w:rPr>
                <w:rFonts w:ascii="仿宋_GB2312" w:hAnsi="仿宋_GB2312" w:cs="仿宋_GB2312" w:eastAsia="仿宋_GB2312"/>
                <w:sz w:val="21"/>
              </w:rPr>
              <w:t>规划目标</w:t>
            </w:r>
          </w:p>
          <w:p>
            <w:pPr>
              <w:pStyle w:val="null3"/>
              <w:ind w:firstLine="400"/>
            </w:pPr>
            <w:r>
              <w:rPr>
                <w:rFonts w:ascii="仿宋_GB2312" w:hAnsi="仿宋_GB2312" w:cs="仿宋_GB2312" w:eastAsia="仿宋_GB2312"/>
                <w:sz w:val="21"/>
              </w:rPr>
              <w:t>以“两纲要”发展目标为指引，以落实完成全国港口与航道布局规划明确的规划任务为重点。提出2030 年陕西省水运将要达到的发展目标，并提出“十五五”期主要代表性指标。</w:t>
            </w:r>
          </w:p>
          <w:p>
            <w:pPr>
              <w:pStyle w:val="null3"/>
            </w:pPr>
            <w:r>
              <w:rPr>
                <w:rFonts w:ascii="仿宋_GB2312" w:hAnsi="仿宋_GB2312" w:cs="仿宋_GB2312" w:eastAsia="仿宋_GB2312"/>
                <w:sz w:val="21"/>
              </w:rPr>
              <w:t>3、</w:t>
            </w:r>
            <w:r>
              <w:rPr>
                <w:rFonts w:ascii="仿宋_GB2312" w:hAnsi="仿宋_GB2312" w:cs="仿宋_GB2312" w:eastAsia="仿宋_GB2312"/>
                <w:sz w:val="21"/>
                <w:b/>
              </w:rPr>
              <w:t>研究目标</w:t>
            </w:r>
          </w:p>
          <w:p>
            <w:pPr>
              <w:pStyle w:val="null3"/>
            </w:pPr>
            <w:r>
              <w:rPr>
                <w:rFonts w:ascii="仿宋_GB2312" w:hAnsi="仿宋_GB2312" w:cs="仿宋_GB2312" w:eastAsia="仿宋_GB2312"/>
                <w:sz w:val="21"/>
              </w:rPr>
              <w:t>（1）构建高质量水运基础设施。</w:t>
            </w:r>
          </w:p>
          <w:p>
            <w:pPr>
              <w:pStyle w:val="null3"/>
              <w:ind w:firstLine="400"/>
            </w:pPr>
            <w:r>
              <w:rPr>
                <w:rFonts w:ascii="仿宋_GB2312" w:hAnsi="仿宋_GB2312" w:cs="仿宋_GB2312" w:eastAsia="仿宋_GB2312"/>
                <w:sz w:val="21"/>
              </w:rPr>
              <w:t>强化省际协同，打通航道堵点卡点，建设干支联通的高质量对外水运通道；以地区性重要港口为重点，优化码头布局结构与功能，完善港口集疏运体系，提升港口物流服务水平，努力打造港口枢纽。</w:t>
            </w:r>
          </w:p>
          <w:p>
            <w:pPr>
              <w:pStyle w:val="null3"/>
              <w:numPr>
                <w:ilvl w:val="0"/>
                <w:numId w:val="1"/>
              </w:numPr>
            </w:pPr>
            <w:r>
              <w:rPr>
                <w:rFonts w:ascii="仿宋_GB2312" w:hAnsi="仿宋_GB2312" w:cs="仿宋_GB2312" w:eastAsia="仿宋_GB2312"/>
                <w:sz w:val="21"/>
              </w:rPr>
              <w:t>提升水运服务效率和质量效益。</w:t>
            </w:r>
          </w:p>
          <w:p>
            <w:pPr>
              <w:pStyle w:val="null3"/>
              <w:ind w:firstLine="400"/>
            </w:pPr>
            <w:r>
              <w:rPr>
                <w:rFonts w:ascii="仿宋_GB2312" w:hAnsi="仿宋_GB2312" w:cs="仿宋_GB2312" w:eastAsia="仿宋_GB2312"/>
                <w:sz w:val="21"/>
              </w:rPr>
              <w:t>发展与航道、港口相适宜的船舶运力；推动公铁水联运发展，发展以港口为枢纽的高效物流，提升水路运输效率、服务品质和经济效益，促进交通物流体系降本提质增效。</w:t>
            </w:r>
          </w:p>
          <w:p>
            <w:pPr>
              <w:pStyle w:val="null3"/>
              <w:numPr>
                <w:ilvl w:val="0"/>
                <w:numId w:val="1"/>
              </w:numPr>
            </w:pPr>
            <w:r>
              <w:rPr>
                <w:rFonts w:ascii="仿宋_GB2312" w:hAnsi="仿宋_GB2312" w:cs="仿宋_GB2312" w:eastAsia="仿宋_GB2312"/>
                <w:sz w:val="21"/>
              </w:rPr>
              <w:t>促进水运绿色安全发展。</w:t>
            </w:r>
          </w:p>
          <w:p>
            <w:pPr>
              <w:pStyle w:val="null3"/>
            </w:pPr>
            <w:r>
              <w:rPr>
                <w:rFonts w:ascii="仿宋_GB2312" w:hAnsi="仿宋_GB2312" w:cs="仿宋_GB2312" w:eastAsia="仿宋_GB2312"/>
                <w:sz w:val="21"/>
              </w:rPr>
              <w:t>积极发展与航道等级相匹配的标准化船型，提升航道通行效率，降低货物运输单位能耗；推动水路运输清洁低碳转型，进一步提升水路交通运输绿色发展水平；完善水运支持保障体系及其智慧化管理水平，为水运安全保驾护航。</w:t>
            </w:r>
          </w:p>
          <w:p>
            <w:pPr>
              <w:pStyle w:val="null3"/>
              <w:numPr>
                <w:ilvl w:val="0"/>
                <w:numId w:val="1"/>
              </w:numPr>
            </w:pPr>
            <w:r>
              <w:rPr>
                <w:rFonts w:ascii="仿宋_GB2312" w:hAnsi="仿宋_GB2312" w:cs="仿宋_GB2312" w:eastAsia="仿宋_GB2312"/>
                <w:sz w:val="21"/>
              </w:rPr>
              <w:t>推进水运行业数字化智慧化转型。</w:t>
            </w:r>
          </w:p>
          <w:p>
            <w:pPr>
              <w:pStyle w:val="null3"/>
            </w:pPr>
            <w:r>
              <w:rPr>
                <w:rFonts w:ascii="仿宋_GB2312" w:hAnsi="仿宋_GB2312" w:cs="仿宋_GB2312" w:eastAsia="仿宋_GB2312"/>
                <w:sz w:val="21"/>
              </w:rPr>
              <w:t>充分利用新时代数字化、网络化、智能化技术，在汉江、黄河等积极发展船舶动态监管系统；强化综合监管智慧化，建设集航道、港口、船舶、运输、支持保障于一体的全省统一智慧港航综合监管服务平台。</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、主要研究内容</w:t>
            </w:r>
          </w:p>
          <w:p>
            <w:pPr>
              <w:pStyle w:val="null3"/>
            </w:pPr>
            <w:r>
              <w:rPr>
                <w:rFonts w:ascii="仿宋_GB2312" w:hAnsi="仿宋_GB2312" w:cs="仿宋_GB2312" w:eastAsia="仿宋_GB2312"/>
                <w:sz w:val="21"/>
              </w:rPr>
              <w:t>（1）“十四五”期规划执行评估</w:t>
            </w:r>
          </w:p>
          <w:p>
            <w:pPr>
              <w:pStyle w:val="null3"/>
            </w:pPr>
            <w:r>
              <w:rPr>
                <w:rFonts w:ascii="仿宋_GB2312" w:hAnsi="仿宋_GB2312" w:cs="仿宋_GB2312" w:eastAsia="仿宋_GB2312"/>
                <w:sz w:val="21"/>
              </w:rPr>
              <w:t>1）“十四五”期规划主要内容</w:t>
            </w:r>
          </w:p>
          <w:p>
            <w:pPr>
              <w:pStyle w:val="null3"/>
            </w:pPr>
            <w:r>
              <w:rPr>
                <w:rFonts w:ascii="仿宋_GB2312" w:hAnsi="仿宋_GB2312" w:cs="仿宋_GB2312" w:eastAsia="仿宋_GB2312"/>
                <w:sz w:val="21"/>
              </w:rPr>
              <w:t>2）“十四五”期规划执行情况</w:t>
            </w:r>
          </w:p>
          <w:p>
            <w:pPr>
              <w:pStyle w:val="null3"/>
            </w:pPr>
            <w:r>
              <w:rPr>
                <w:rFonts w:ascii="仿宋_GB2312" w:hAnsi="仿宋_GB2312" w:cs="仿宋_GB2312" w:eastAsia="仿宋_GB2312"/>
                <w:sz w:val="21"/>
              </w:rPr>
              <w:t>3）“十四五”期主要成效</w:t>
            </w:r>
          </w:p>
          <w:p>
            <w:pPr>
              <w:pStyle w:val="null3"/>
            </w:pPr>
            <w:r>
              <w:rPr>
                <w:rFonts w:ascii="仿宋_GB2312" w:hAnsi="仿宋_GB2312" w:cs="仿宋_GB2312" w:eastAsia="仿宋_GB2312"/>
                <w:sz w:val="21"/>
              </w:rPr>
              <w:t>4）水运发展现状</w:t>
            </w:r>
          </w:p>
          <w:p>
            <w:pPr>
              <w:pStyle w:val="null3"/>
            </w:pPr>
            <w:r>
              <w:rPr>
                <w:rFonts w:ascii="仿宋_GB2312" w:hAnsi="仿宋_GB2312" w:cs="仿宋_GB2312" w:eastAsia="仿宋_GB2312"/>
                <w:sz w:val="21"/>
              </w:rPr>
              <w:t>5）存在的主要问题</w:t>
            </w:r>
          </w:p>
          <w:p>
            <w:pPr>
              <w:pStyle w:val="null3"/>
            </w:pPr>
            <w:r>
              <w:rPr>
                <w:rFonts w:ascii="仿宋_GB2312" w:hAnsi="仿宋_GB2312" w:cs="仿宋_GB2312" w:eastAsia="仿宋_GB2312"/>
                <w:sz w:val="21"/>
              </w:rPr>
              <w:t>(2)形势需求</w:t>
            </w:r>
          </w:p>
          <w:p>
            <w:pPr>
              <w:pStyle w:val="null3"/>
            </w:pPr>
            <w:r>
              <w:rPr>
                <w:rFonts w:ascii="仿宋_GB2312" w:hAnsi="仿宋_GB2312" w:cs="仿宋_GB2312" w:eastAsia="仿宋_GB2312"/>
                <w:sz w:val="21"/>
              </w:rPr>
              <w:t>1)面临形势</w:t>
            </w:r>
          </w:p>
          <w:p>
            <w:pPr>
              <w:pStyle w:val="null3"/>
            </w:pPr>
            <w:r>
              <w:rPr>
                <w:rFonts w:ascii="仿宋_GB2312" w:hAnsi="仿宋_GB2312" w:cs="仿宋_GB2312" w:eastAsia="仿宋_GB2312"/>
                <w:sz w:val="21"/>
              </w:rPr>
              <w:t>2)需求预测</w:t>
            </w:r>
          </w:p>
          <w:p>
            <w:pPr>
              <w:pStyle w:val="null3"/>
            </w:pPr>
            <w:r>
              <w:rPr>
                <w:rFonts w:ascii="仿宋_GB2312" w:hAnsi="仿宋_GB2312" w:cs="仿宋_GB2312" w:eastAsia="仿宋_GB2312"/>
                <w:sz w:val="21"/>
              </w:rPr>
              <w:t>5、</w:t>
            </w:r>
            <w:r>
              <w:rPr>
                <w:rFonts w:ascii="仿宋_GB2312" w:hAnsi="仿宋_GB2312" w:cs="仿宋_GB2312" w:eastAsia="仿宋_GB2312"/>
                <w:sz w:val="21"/>
                <w:b/>
              </w:rPr>
              <w:t>规划成果要求</w:t>
            </w:r>
          </w:p>
          <w:p>
            <w:pPr>
              <w:pStyle w:val="null3"/>
              <w:ind w:firstLine="400"/>
            </w:pPr>
            <w:r>
              <w:rPr>
                <w:rFonts w:ascii="仿宋_GB2312" w:hAnsi="仿宋_GB2312" w:cs="仿宋_GB2312" w:eastAsia="仿宋_GB2312"/>
                <w:sz w:val="21"/>
              </w:rPr>
              <w:t>研究报告需符合国家和陕西省有关规定，以及现行法律、法规和行业标准、规范等要求，满足采购人要求并通过采购人组织的专家评审。</w:t>
            </w:r>
          </w:p>
          <w:p>
            <w:pPr>
              <w:pStyle w:val="null3"/>
              <w:jc w:val="both"/>
            </w:pPr>
            <w:r>
              <w:rPr>
                <w:rFonts w:ascii="仿宋_GB2312" w:hAnsi="仿宋_GB2312" w:cs="仿宋_GB2312" w:eastAsia="仿宋_GB2312"/>
                <w:sz w:val="21"/>
              </w:rPr>
              <w:t>最终成果：“十五五”水路</w:t>
            </w:r>
            <w:r>
              <w:rPr>
                <w:rFonts w:ascii="仿宋_GB2312" w:hAnsi="仿宋_GB2312" w:cs="仿宋_GB2312" w:eastAsia="仿宋_GB2312"/>
                <w:sz w:val="21"/>
              </w:rPr>
              <w:t>交通发展规划编制及政策研究（含规划报告、报审文本等）纸质版2份，电子文件1份。采购人根据实际情况要求调整。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在财政预算的执行期内，得到甲方认可的阶段性成果</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供应商需在项目电子化交易系统中按要求填写《投标函》完成承诺并进行电子签章。(1)提供合格有效的法人或者其他组织的营业执照等证明文件，自然人的身份证明； 供应商是法人或其他组织的应提供营业执照等证明文件，供应商是自然人的应提供有效的自然人身份证明。 (2)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 （7）本项目接受联合体投标，联合体成员不超过2家。（若为联合体投标，增加联合体投标协议及承诺书）</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在规定时间内缴纳磋商保证金</w:t>
            </w:r>
          </w:p>
        </w:tc>
        <w:tc>
          <w:tcPr>
            <w:tcW w:type="dxa" w:w="1661"/>
          </w:tcPr>
          <w:p>
            <w:pPr>
              <w:pStyle w:val="null3"/>
            </w:pPr>
            <w:r>
              <w:rPr>
                <w:rFonts w:ascii="仿宋_GB2312" w:hAnsi="仿宋_GB2312" w:cs="仿宋_GB2312" w:eastAsia="仿宋_GB2312"/>
              </w:rPr>
              <w:t>资格审查资料.docx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资格审查资料.docx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服务方案 标的清单 商务条款偏离表及投入人员汇总.docx 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1）对项目理解透彻，服务方案总体思路清晰，对编制任务、编制依据、编制体系、规划指标、有详细的认识和评价，得10分； 2）对项目理解基本正确，对项目的总体思路清晰，对编制任务、编制依据、编制体系、规划指标的认识和评价比较简单，对项目的特点和编制重点分析不够详细，得8分 ； 3）对项目理解无误 ,但总体思路、编制任务、编制依 据、编制体系、规划指标认知欠缺 ,没有对项目的特点和对编制重点作出分析，得5分；未提供不得分。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1）正确识别本项目的重难点，逐条列出且分析全面、具体、透彻，实施方案针对性强，得10分； 2）对本项目的重难点的分析较全面，但不够具体和透彻，解决对策较合理可行,得8分； 对本项目的重难点分析及解决对策分析不到位，描述不具体的，得5分；未提供不得分。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1）实施内容详细具体，针对性强 、可操作性强、落地性高的得20分； 2）实施内容较详细合理，基本可行的得15分； 实施内容粗略简单、无针对性、可操作性较低的得7分；未提供不得分。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1）工作实施进度计划全面、合理,得5分； 2）工作实施进度计划较全面、较合理，得3分； 工作实施进度计划较不合理，得1分；未提供不得分。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成果质量保证措施</w:t>
            </w:r>
          </w:p>
        </w:tc>
        <w:tc>
          <w:tcPr>
            <w:tcW w:type="dxa" w:w="2492"/>
          </w:tcPr>
          <w:p>
            <w:pPr>
              <w:pStyle w:val="null3"/>
            </w:pPr>
            <w:r>
              <w:rPr>
                <w:rFonts w:ascii="仿宋_GB2312" w:hAnsi="仿宋_GB2312" w:cs="仿宋_GB2312" w:eastAsia="仿宋_GB2312"/>
              </w:rPr>
              <w:t>1）质量保证措施具体完善、编制思路清晰、完全且满足本项目需求的得5分； 2）质量保证措施具体较完善、编制思路较清晰、基本满足本项目需求的得3分； 3）质量保证措施有欠缺、编制思路不清晰、不完全满足项目需求的得1分；未提供不得分。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1）提供的规划报告编制大纲，结构合理、逻辑清晰、内容全面，符合实际需求，按其响应程度计5分； 2）提供的规划报告编制大纲，结构较合理、逻辑较清晰、内容较全面，基本符合实际需求，按其响应程度计3分； 提供的规划报告编制大纲，结构不太合理、逻辑不太清晰、内容不太全面，不太符合实际需求，按其响应程度计1分；未提供不得分。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针对本项目提供服务承诺，就技术支持、确保成果完成时限、控制编制失误、项目负责人全过程负责项目方案修改、整合、沟通等做出承诺。 1）服务承诺详细全面且可操作性高的得5分； 2）服务承诺有欠缺、且操作性较高得3分； 服务承诺不全面且操作性较差得1分；未提供不得分。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拟投入本项目技术力量配备情况</w:t>
            </w:r>
          </w:p>
        </w:tc>
        <w:tc>
          <w:tcPr>
            <w:tcW w:type="dxa" w:w="2492"/>
          </w:tcPr>
          <w:p>
            <w:pPr>
              <w:pStyle w:val="null3"/>
            </w:pPr>
            <w:r>
              <w:rPr>
                <w:rFonts w:ascii="仿宋_GB2312" w:hAnsi="仿宋_GB2312" w:cs="仿宋_GB2312" w:eastAsia="仿宋_GB2312"/>
              </w:rPr>
              <w:t>1.项目负责人（10分）： 1）项目负责人具有高级工程师及以上职称，得2分 ；具备有效的注册咨询工程师（投资）登记证书，得2 分；满分4分。 2）项目负责人业绩：自2019年1月1日起至投标截止之日止（以中标（成交）通知书或合同签署的日期为准），参与完成过同类水运项目的，每个得2分，满分6分。 注：附中标（成交）通知书或合同或研究成果或批复或验收意见或业主出具的履约证明等相关证明材料复印件或扫描件，材料需体现项目负责人的相关信息等实质性信息，如未体现则需另外提供甲方证明文件复印件。 2.项目组成员（5分）： 具有交通相关专业高级工程师或以上职称每人得0.5分，交通相关专业中级职称每人得0.25分。在上述基础上，同时具有咨询工程师（投资）登记证书的，再加0.5分/每人次。满分5分。 注：响应文件中需提供以上人员相应证书复印件或扫描件及自2023年7月至响应文件提交截止时间任意一月的社保证明加盖单位公章，否则不得分。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供应商自2019年1月1日起至今（以合同签订时间为准）具备类似项目业绩，每有一项得3分，最高得15 分。 注：①以合同协议书复印件或扫描件为准，否则不得分；②联合体各方均予以认可。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满足竞争性磋商文件要求且最终磋商报价在执行政府采购优惠政策后的最低评审价为评审基准价，磋商报价得分=（评审基准价/评审价） ×10×100% 执行政府采购优惠政策标准： 1、享受价格优惠政策的： 按照价格扣除计算； 2、不享受价格优惠政策的：评审价=最终磋商报价；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