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AFDC4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jc w:val="center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sz w:val="32"/>
          <w:szCs w:val="18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18"/>
        </w:rPr>
        <w:t>第八章 拟签订采购合同文本</w:t>
      </w:r>
    </w:p>
    <w:p w14:paraId="0E706458"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after="0" w:line="360" w:lineRule="auto"/>
        <w:ind w:right="0" w:rightChars="0"/>
        <w:textAlignment w:val="auto"/>
        <w:rPr>
          <w:rFonts w:hint="eastAsia" w:asciiTheme="majorEastAsia" w:hAnsiTheme="majorEastAsia" w:eastAsiaTheme="majorEastAsia" w:cstheme="majorEastAsia"/>
          <w:sz w:val="20"/>
          <w:szCs w:val="22"/>
        </w:rPr>
      </w:pPr>
    </w:p>
    <w:p w14:paraId="78F7E40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甲方：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 xml:space="preserve"> </w:t>
      </w:r>
    </w:p>
    <w:p w14:paraId="2F18672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乙方：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  <w:lang w:val="en-US" w:eastAsia="zh-CN"/>
        </w:rPr>
        <w:t xml:space="preserve">                                </w:t>
      </w:r>
    </w:p>
    <w:p w14:paraId="22DA7B4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根据《中华人民共和国民法典》《中华人民共和国建筑法》及有关法律规定，遵循平等、自愿、公平和诚实信用的原则，双方就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</w:rPr>
        <w:t xml:space="preserve"> 陕西省渭南强制隔离戒毒所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  <w:lang w:eastAsia="zh-CN"/>
        </w:rPr>
        <w:t>屋面防水工程项目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及有关事项协商一致，共同达成如下协议：</w:t>
      </w:r>
    </w:p>
    <w:p w14:paraId="08B5FF9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</w:pPr>
      <w:bookmarkStart w:id="0" w:name="_Toc27153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t>一、工程概况</w:t>
      </w:r>
      <w:bookmarkEnd w:id="0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t xml:space="preserve"> </w:t>
      </w:r>
    </w:p>
    <w:p w14:paraId="2F47AFF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工程名称：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</w:rPr>
        <w:t>陕西省渭南强制隔离戒毒所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  <w:lang w:eastAsia="zh-CN"/>
        </w:rPr>
        <w:t>屋面防水工程项目</w:t>
      </w:r>
    </w:p>
    <w:p w14:paraId="34CB9E2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工程地点：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  <w:lang w:val="en-US" w:eastAsia="zh-CN"/>
        </w:rPr>
        <w:t>采购人指定地点</w:t>
      </w:r>
    </w:p>
    <w:p w14:paraId="772B97B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</w:pPr>
      <w:bookmarkStart w:id="1" w:name="_Toc15779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t>工程内容</w:t>
      </w:r>
      <w:bookmarkEnd w:id="1"/>
    </w:p>
    <w:p w14:paraId="56CBF19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outlineLvl w:val="1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auto"/>
          <w:spacing w:val="0"/>
          <w:kern w:val="2"/>
          <w:sz w:val="22"/>
          <w:szCs w:val="22"/>
          <w:highlight w:val="none"/>
          <w:shd w:val="clear" w:color="auto" w:fill="FFFFFF"/>
          <w:vertAlign w:val="baseline"/>
          <w:lang w:val="en-US" w:eastAsia="zh-CN" w:bidi="ar-SA"/>
        </w:rPr>
      </w:pPr>
      <w:bookmarkStart w:id="2" w:name="_Toc18991"/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auto"/>
          <w:spacing w:val="0"/>
          <w:kern w:val="2"/>
          <w:sz w:val="22"/>
          <w:szCs w:val="22"/>
          <w:highlight w:val="none"/>
          <w:shd w:val="clear" w:color="auto" w:fill="FFFFFF"/>
          <w:vertAlign w:val="baseline"/>
          <w:lang w:val="en-US" w:eastAsia="zh-CN" w:bidi="ar-SA"/>
        </w:rPr>
        <w:t>对陕西省渭南强制隔离戒毒所部分区域进行屋面防水工程</w:t>
      </w:r>
    </w:p>
    <w:p w14:paraId="5BE2C77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三、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t>工期</w:t>
      </w:r>
      <w:bookmarkEnd w:id="2"/>
    </w:p>
    <w:p w14:paraId="7BAC37E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auto"/>
          <w:spacing w:val="0"/>
          <w:kern w:val="2"/>
          <w:sz w:val="22"/>
          <w:szCs w:val="22"/>
          <w:highlight w:val="none"/>
          <w:shd w:val="clear" w:color="auto" w:fill="FFFFFF"/>
          <w:vertAlign w:val="baseline"/>
          <w:lang w:val="en-US" w:eastAsia="zh-CN" w:bidi="ar-SA"/>
        </w:rPr>
        <w:t>合同签订后 30日历天完工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 xml:space="preserve"> </w:t>
      </w:r>
    </w:p>
    <w:p w14:paraId="2D52A09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</w:pPr>
      <w:bookmarkStart w:id="3" w:name="_Toc23220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t>承包方式</w:t>
      </w:r>
      <w:bookmarkEnd w:id="3"/>
    </w:p>
    <w:p w14:paraId="1F8FF0D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包工包料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/>
        </w:rPr>
        <w:t>合同总价一次性包死</w:t>
      </w:r>
    </w:p>
    <w:p w14:paraId="778A9F8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</w:pPr>
      <w:bookmarkStart w:id="4" w:name="_Toc25304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t>工程质量</w:t>
      </w:r>
      <w:bookmarkEnd w:id="4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t xml:space="preserve"> </w:t>
      </w:r>
    </w:p>
    <w:p w14:paraId="7400373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 xml:space="preserve">工程验收标准执行国家现有的有关规范及标准，本工程质量要求为合格。 </w:t>
      </w:r>
    </w:p>
    <w:p w14:paraId="3617ADA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</w:pPr>
      <w:bookmarkStart w:id="5" w:name="_Toc18623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六、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t>合同价款</w:t>
      </w:r>
      <w:bookmarkEnd w:id="5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</w:rPr>
        <w:t xml:space="preserve"> </w:t>
      </w:r>
    </w:p>
    <w:p w14:paraId="43AA222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合同价：总价（大写）：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>整（￥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</w:rPr>
        <w:t xml:space="preserve">） </w:t>
      </w:r>
    </w:p>
    <w:p w14:paraId="4466021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6" w:name="_Toc22976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七、付款方式</w:t>
      </w:r>
      <w:bookmarkEnd w:id="6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5A4E5D6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 w:bidi="ar-SA"/>
        </w:rPr>
      </w:pPr>
      <w:bookmarkStart w:id="7" w:name="_Toc25999"/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 w:bidi="ar-SA"/>
        </w:rPr>
        <w:t>1.结算单位：采购人结算，在付款前，成交供应商必须开具全额增值税专用发票给采购人。</w:t>
      </w:r>
    </w:p>
    <w:p w14:paraId="76F47395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 w:bidi="ar-SA"/>
        </w:rPr>
        <w:t>2.付款方式：</w:t>
      </w:r>
    </w:p>
    <w:p w14:paraId="38FC815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 w:bidi="ar-SA"/>
        </w:rPr>
        <w:t>合同签订后采购人向成交人支付合同总价款40%，施工完成且经采购人验收合格后，采购人向成交人支付剩余合同价款。</w:t>
      </w:r>
    </w:p>
    <w:p w14:paraId="76458053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default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2"/>
          <w:szCs w:val="22"/>
          <w:highlight w:val="none"/>
          <w:lang w:val="en-US" w:eastAsia="zh-CN" w:bidi="ar-SA"/>
        </w:rPr>
        <w:t>3.工程质保金:工程质保金为合同总价款的5%。在采购人付清剩余合同款后，由成交单位缴纳至采购单位指定账户。(5年后无质量问题向成交单位一次性不计息返还)</w:t>
      </w:r>
    </w:p>
    <w:p w14:paraId="1D590A7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八、工程质量保修</w:t>
      </w:r>
      <w:bookmarkEnd w:id="7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08142AE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质量保修期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竣工验收合格之日起5年。</w:t>
      </w:r>
    </w:p>
    <w:p w14:paraId="442A22A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8" w:name="_Toc12510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九、甲方责任</w:t>
      </w:r>
      <w:bookmarkEnd w:id="8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560E44B2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甲方须向乙方做详细的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现场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交底。 </w:t>
      </w:r>
    </w:p>
    <w:p w14:paraId="03B604FF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协调施工中遇到的其他不可预见的各种问题。 </w:t>
      </w:r>
    </w:p>
    <w:p w14:paraId="18A42BD5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甲方不提供住宿及临设场地，由乙方自行解决。 </w:t>
      </w:r>
    </w:p>
    <w:p w14:paraId="4442745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9" w:name="_Toc16684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十、乙方责任</w:t>
      </w:r>
      <w:bookmarkEnd w:id="9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3BA16BE8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乙方要严格按照甲方要求及施工验收规范进行施工。 </w:t>
      </w:r>
    </w:p>
    <w:p w14:paraId="4435E88F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乙方所用的施工人员须具备相关从业资格证，经甲方审核后方可上岗。 </w:t>
      </w:r>
    </w:p>
    <w:p w14:paraId="6C1DFD9E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保证施工现场整洁，交工前必须做到活完场净。施工现场乙方要根据工作需要，设置围栏，警示标志，夜间使用的照明设施。施工中发生的一切工伤事故，由乙方负责。 </w:t>
      </w:r>
    </w:p>
    <w:p w14:paraId="4D10EDF7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乙方应做好施工现场的防火、高坠、物体打击等安全管理工作，对施工中造成的安全事故全部由乙方负责并承担相应的法律责任。</w:t>
      </w:r>
    </w:p>
    <w:p w14:paraId="76B33F7F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5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乙方负责施工垃圾清理外运工作，垃圾需装袋集中</w:t>
      </w:r>
      <w:r>
        <w:rPr>
          <w:rFonts w:hint="eastAsia" w:asciiTheme="majorEastAsia" w:hAnsiTheme="majorEastAsia" w:eastAsiaTheme="majorEastAsia" w:cstheme="majorEastAsia"/>
          <w:sz w:val="22"/>
          <w:szCs w:val="22"/>
          <w:highlight w:val="none"/>
        </w:rPr>
        <w:t xml:space="preserve">堆放，并按规范做好围挡及覆盖，垃圾清运应做到日清日结。同时应采取有效措施保护施工现场的内外环境，使粉尘、噪音等指标符合环境保护要求，避免施工引起的环境问题造成人身或财产损害。 </w:t>
      </w:r>
    </w:p>
    <w:p w14:paraId="2EE95BB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10" w:name="_Toc15942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十一、工程工期的延误</w:t>
      </w:r>
      <w:bookmarkEnd w:id="10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14291748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施工过程中，乙方出现下列情况的，工期相应顺延。 </w:t>
      </w:r>
    </w:p>
    <w:p w14:paraId="683CC239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不可抗力造成灾害影响正常施工的。 </w:t>
      </w:r>
    </w:p>
    <w:p w14:paraId="343EC7FE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甲方重大设计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/计划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变更。 </w:t>
      </w:r>
    </w:p>
    <w:p w14:paraId="726F23BF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其他非乙方原因造成的停工。 </w:t>
      </w:r>
    </w:p>
    <w:p w14:paraId="38C747DC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乙方在第十一条1款约定的情况发生后一日内，应就延期情况向甲方代表提出报告，甲方代表应于收到报告两日内予以确认、答复，逾期不予答复，视为延期要求已被确认。 </w:t>
      </w:r>
    </w:p>
    <w:p w14:paraId="00ED1FA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11" w:name="_Toc28380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十二、工程竣工及验收</w:t>
      </w:r>
      <w:bookmarkEnd w:id="11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155E5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</w:pPr>
      <w:bookmarkStart w:id="12" w:name="_Toc3995"/>
      <w:r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  <w:t>1.成交供应商向采购人提交项目实施过程中的所有资料。</w:t>
      </w:r>
    </w:p>
    <w:p w14:paraId="705D4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  <w:t>2.验收须以合同、磋商文件及磋商响应文件、澄清、及国家相应的标准、规范等为依据。</w:t>
      </w:r>
    </w:p>
    <w:p w14:paraId="5A6A6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  <w:t>3.符合中华人民共和国国家和履约地相关安全质量标准、行业技术规范标准、环保节能标准；</w:t>
      </w:r>
    </w:p>
    <w:p w14:paraId="1672B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  <w:t>4.双方约定的其他验收标准。</w:t>
      </w:r>
    </w:p>
    <w:p w14:paraId="19FFE9C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40" w:firstLineChars="200"/>
        <w:textAlignment w:val="auto"/>
        <w:outlineLvl w:val="1"/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  <w:t>5.</w:t>
      </w:r>
      <w:bookmarkStart w:id="18" w:name="_GoBack"/>
      <w:bookmarkEnd w:id="18"/>
      <w:r>
        <w:rPr>
          <w:rFonts w:hint="eastAsia" w:asciiTheme="majorEastAsia" w:hAnsiTheme="majorEastAsia" w:eastAsiaTheme="majorEastAsia" w:cstheme="majorEastAsia"/>
          <w:color w:val="auto"/>
          <w:kern w:val="2"/>
          <w:sz w:val="22"/>
          <w:szCs w:val="22"/>
          <w:highlight w:val="none"/>
          <w:lang w:val="en-US" w:eastAsia="zh-CN" w:bidi="ar-SA"/>
        </w:rPr>
        <w:t>采购人在合同的履行期间以及履行期后，可以随时检查项目的执行情况，对采购标准、采购内容进行调查核实，并对发现的问题进行处理。</w:t>
      </w:r>
    </w:p>
    <w:p w14:paraId="3E4C87E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十三、违约责任</w:t>
      </w:r>
      <w:bookmarkEnd w:id="12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71ADAF9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40" w:firstLineChars="200"/>
        <w:textAlignment w:val="auto"/>
        <w:outlineLvl w:val="1"/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</w:pPr>
      <w:bookmarkStart w:id="13" w:name="_Toc22345"/>
      <w:r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  <w:t> 1.乙方应按合同约定时间完成各阶段合同义务，若发生延迟，乙方应向甲方支付合同总价款10%的违约金，且甲方有权单方解除本合同。但甲方书面同意延迟或因甲方原因导致延迟的，乙方不承担违约责任。</w:t>
      </w:r>
    </w:p>
    <w:p w14:paraId="11C22B7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40" w:firstLineChars="200"/>
        <w:textAlignment w:val="auto"/>
        <w:outlineLvl w:val="1"/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  <w:t xml:space="preserve"> 2.如甲方未能在本合同约定时间内支付款项，每延迟一天，甲方须向乙方承担迟延支付费用的0.5‰作为违约金，并将服务周期予以相应顺延。 </w:t>
      </w:r>
    </w:p>
    <w:p w14:paraId="5BFF2B3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40" w:firstLineChars="200"/>
        <w:textAlignment w:val="auto"/>
        <w:outlineLvl w:val="1"/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  <w:t xml:space="preserve">3.本次活动因乙方原因导致侵害甲方或第三方合法权益的，应由乙方承担相应赔偿责任，并向甲方支付合同总价款10%的违约金。 </w:t>
      </w:r>
    </w:p>
    <w:p w14:paraId="1259E92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40" w:firstLineChars="200"/>
        <w:textAlignment w:val="auto"/>
        <w:outlineLvl w:val="1"/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  <w:t>4.若乙方未经甲方同意泄露本合同约定的任何秘密信息的，乙方应按照合同总价款的10%向甲方支付违约金，并赔偿因此给甲方造成的损失。</w:t>
      </w:r>
    </w:p>
    <w:p w14:paraId="363C9E1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40" w:firstLineChars="200"/>
        <w:textAlignment w:val="auto"/>
        <w:outlineLvl w:val="1"/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  <w:t xml:space="preserve"> 5.乙方保证向甲方开具发票的真实性、合法性，若乙方向甲方开具的发票存在真实性、合法性问题，给甲方造成损失的，乙方应按合同总价款的10%向甲方支付违约金，违约金不足以弥补损失的，乙方还应承担相应赔偿责任。</w:t>
      </w:r>
    </w:p>
    <w:p w14:paraId="0A87872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十四、合同争议的解决方式</w:t>
      </w:r>
      <w:bookmarkEnd w:id="13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37A5DD2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 w:firstLine="440" w:firstLineChars="200"/>
        <w:textAlignment w:val="auto"/>
        <w:outlineLvl w:val="1"/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2"/>
          <w:szCs w:val="22"/>
          <w:highlight w:val="none"/>
          <w:lang w:val="en-US" w:eastAsia="zh-CN" w:bidi="ar"/>
        </w:rPr>
        <w:t>执行本合同过程中发生争议，应友好协商解决，协商不成的，任何一方可到甲方所在地人民法院提起诉讼。</w:t>
      </w:r>
    </w:p>
    <w:p w14:paraId="4AE97B6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14" w:name="_Toc32303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十五、合同的变更和解除</w:t>
      </w:r>
      <w:bookmarkEnd w:id="14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44CD1711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合同生效后，任何一方不得随意变更合同内容。确需变更合同内容的，应经双方协商一致后重新签订补充合同。 </w:t>
      </w:r>
    </w:p>
    <w:p w14:paraId="0AC233D7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合同签订后，因不可抗力致使合同确已无法全面履行的，经双方协商一致可解除合同。 </w:t>
      </w:r>
    </w:p>
    <w:p w14:paraId="002CF60B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因乙方的原因，致使工程在规定的期限内不能完工或质量不合格的，甲方有权终止合同，由此造成的各项损失由乙方承担，并赔偿甲方的损失。 </w:t>
      </w:r>
    </w:p>
    <w:p w14:paraId="1DCAD49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15" w:name="_Toc23712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十六、廉洁自律相关条款</w:t>
      </w:r>
      <w:bookmarkEnd w:id="15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3DFDA0D1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甲乙双方遵守廉洁自律规定，严格执行合同条款，自觉按照合同办事，维护双方合法利益。 </w:t>
      </w:r>
    </w:p>
    <w:p w14:paraId="235E176A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在合同执行中，乙方不给予或暗示给予甲方工作人员任何利益，并自觉抵制任何索贿行为；甲方给乙方工作便利，不得吃、拿、卡、要，要自觉抵制任何行贿行为。 </w:t>
      </w:r>
    </w:p>
    <w:p w14:paraId="65A23365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乙方发现甲方相关工作人员有不廉洁行为，应及时向甲方主管或监察处等部门举报。 </w:t>
      </w:r>
    </w:p>
    <w:p w14:paraId="3442B4D9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甲方发现乙方有商业行贿行为或严重违反合同条款，有权取消或终止本合同，由此给甲、乙造成的损失均由乙方承担，乙方不得有异议。 </w:t>
      </w:r>
    </w:p>
    <w:p w14:paraId="02C4988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16" w:name="_Toc8464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十七、其他</w:t>
      </w:r>
      <w:bookmarkEnd w:id="16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22B2CCD1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乙方施工过程中，应遵循劳动协议、安全防护等相关法律法规，采取严格的安全防护措施，确保施工安全，承担由于自身安全措施不力造成的责任和因此发生的损失。 </w:t>
      </w:r>
    </w:p>
    <w:p w14:paraId="21FD7969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工程施工过程中若发生重大伤亡事故，乙方应按有关规定立即上报有关部门并通知甲方，并积极处理善后事宜。 </w:t>
      </w:r>
    </w:p>
    <w:p w14:paraId="5B5FF7A6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本合同经甲、乙双方签字盖章后生效。工程竣工验收，甲方结清工程款，乙方将工程交付甲方后，除有关保修条款仍然生效外，本合同其他条款效力终止。保修条款效力至保修期满终止。 </w:t>
      </w:r>
    </w:p>
    <w:p w14:paraId="58631A2B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 xml:space="preserve">本合同工程不能转包。 </w:t>
      </w:r>
    </w:p>
    <w:p w14:paraId="4F6C912F">
      <w:pPr>
        <w:pStyle w:val="5"/>
        <w:keepNext w:val="0"/>
        <w:keepLines w:val="0"/>
        <w:pageBreakBefore w:val="0"/>
        <w:widowControl w:val="0"/>
        <w:tabs>
          <w:tab w:val="left" w:pos="42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color w:val="auto"/>
          <w:sz w:val="22"/>
          <w:szCs w:val="22"/>
          <w:highlight w:val="none"/>
        </w:rPr>
        <w:t>本合同未尽事宜，甲乙双方应本着友好的精神予以协商解决，达成补充协议。补充协议与本合同具有同等效力。</w:t>
      </w:r>
    </w:p>
    <w:p w14:paraId="34D33EFE">
      <w:pPr>
        <w:keepNext w:val="0"/>
        <w:keepLines w:val="0"/>
        <w:pageBreakBefore w:val="0"/>
        <w:tabs>
          <w:tab w:val="left" w:pos="720"/>
          <w:tab w:val="left" w:pos="90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1"/>
        <w:rPr>
          <w:rFonts w:hint="eastAsia" w:asciiTheme="majorEastAsia" w:hAnsiTheme="majorEastAsia" w:eastAsiaTheme="majorEastAsia" w:cstheme="majorEastAsia"/>
          <w:sz w:val="22"/>
          <w:szCs w:val="22"/>
        </w:rPr>
      </w:pPr>
      <w:bookmarkStart w:id="17" w:name="_Toc26858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十八、合同订立</w:t>
      </w:r>
      <w:bookmarkEnd w:id="17"/>
    </w:p>
    <w:p w14:paraId="5E10E51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35" w:firstLineChars="198"/>
        <w:textAlignment w:val="auto"/>
        <w:rPr>
          <w:rFonts w:hint="eastAsia" w:asciiTheme="majorEastAsia" w:hAnsiTheme="majorEastAsia" w:eastAsiaTheme="majorEastAsia" w:cstheme="majorEastAsia"/>
          <w:sz w:val="22"/>
          <w:szCs w:val="22"/>
        </w:rPr>
      </w:pPr>
      <w:r>
        <w:rPr>
          <w:rFonts w:hint="eastAsia" w:asciiTheme="majorEastAsia" w:hAnsiTheme="majorEastAsia" w:eastAsiaTheme="majorEastAsia" w:cstheme="majorEastAsia"/>
          <w:sz w:val="22"/>
          <w:szCs w:val="22"/>
        </w:rPr>
        <w:t>1.订立时间：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年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月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日。</w:t>
      </w:r>
    </w:p>
    <w:p w14:paraId="6AE709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35" w:firstLineChars="198"/>
        <w:textAlignment w:val="auto"/>
        <w:rPr>
          <w:rFonts w:hint="eastAsia" w:asciiTheme="majorEastAsia" w:hAnsiTheme="majorEastAsia" w:eastAsiaTheme="majorEastAsia" w:cstheme="majorEastAsia"/>
          <w:sz w:val="22"/>
          <w:szCs w:val="22"/>
        </w:rPr>
      </w:pPr>
      <w:r>
        <w:rPr>
          <w:rFonts w:hint="eastAsia" w:asciiTheme="majorEastAsia" w:hAnsiTheme="majorEastAsia" w:eastAsiaTheme="majorEastAsia" w:cstheme="majorEastAsia"/>
          <w:sz w:val="22"/>
          <w:szCs w:val="22"/>
        </w:rPr>
        <w:t>2.订立地点：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</w:rPr>
        <w:t xml:space="preserve">                                 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。</w:t>
      </w:r>
    </w:p>
    <w:p w14:paraId="4C365CBF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sz w:val="22"/>
          <w:szCs w:val="2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2"/>
          <w:szCs w:val="22"/>
        </w:rPr>
        <w:t>3.本合同一式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份，具有同等法律效力，双方各执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2"/>
          <w:szCs w:val="22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2"/>
          <w:szCs w:val="22"/>
        </w:rPr>
        <w:t>份。各方签字盖章后生效，合同执行完毕自动失效</w:t>
      </w:r>
      <w:r>
        <w:rPr>
          <w:rFonts w:hint="eastAsia" w:asciiTheme="majorEastAsia" w:hAnsiTheme="majorEastAsia" w:eastAsiaTheme="majorEastAsia" w:cstheme="majorEastAsia"/>
          <w:sz w:val="22"/>
          <w:szCs w:val="22"/>
          <w:lang w:eastAsia="zh-CN"/>
        </w:rPr>
        <w:t>。</w:t>
      </w:r>
    </w:p>
    <w:p w14:paraId="325CF5F2">
      <w:pPr>
        <w:pStyle w:val="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2"/>
          <w:szCs w:val="22"/>
          <w:lang w:val="en-US" w:eastAsia="zh-CN" w:bidi="ar-SA"/>
        </w:rPr>
      </w:pPr>
    </w:p>
    <w:p w14:paraId="09C1E2CE">
      <w:pPr>
        <w:pStyle w:val="6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 w:firstLine="44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2"/>
          <w:szCs w:val="22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2"/>
          <w:szCs w:val="22"/>
          <w:lang w:val="en-US" w:eastAsia="zh-CN" w:bidi="ar-SA"/>
        </w:rPr>
        <w:t>附件：采购文件、响应文件</w:t>
      </w:r>
    </w:p>
    <w:p w14:paraId="79E7373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Theme="majorEastAsia" w:hAnsiTheme="majorEastAsia" w:eastAsiaTheme="majorEastAsia" w:cstheme="majorEastAsia"/>
          <w:sz w:val="20"/>
          <w:szCs w:val="22"/>
          <w:lang w:val="en-US" w:eastAsia="zh-CN"/>
        </w:rPr>
      </w:pPr>
    </w:p>
    <w:p w14:paraId="66F3AB0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Theme="majorEastAsia" w:hAnsiTheme="majorEastAsia" w:eastAsiaTheme="majorEastAsia" w:cstheme="majorEastAsia"/>
          <w:sz w:val="20"/>
          <w:szCs w:val="22"/>
        </w:rPr>
      </w:pPr>
    </w:p>
    <w:p w14:paraId="2C2E694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Theme="majorEastAsia" w:hAnsiTheme="majorEastAsia" w:eastAsiaTheme="majorEastAsia" w:cstheme="majorEastAsia"/>
          <w:sz w:val="20"/>
          <w:szCs w:val="22"/>
        </w:rPr>
      </w:pPr>
    </w:p>
    <w:tbl>
      <w:tblPr>
        <w:tblStyle w:val="7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1"/>
        <w:gridCol w:w="4948"/>
      </w:tblGrid>
      <w:tr w14:paraId="7039D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FE0773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甲方</w:t>
            </w: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11E97F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乙方</w:t>
            </w:r>
          </w:p>
        </w:tc>
      </w:tr>
      <w:tr w14:paraId="6F4BE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9" w:hRule="exact"/>
          <w:jc w:val="center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F1C745E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单位全称（盖章）：</w:t>
            </w:r>
          </w:p>
          <w:p w14:paraId="65AA8E60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单位地址：</w:t>
            </w:r>
          </w:p>
          <w:p w14:paraId="67252E1F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法定代表人/委托代理人：</w:t>
            </w:r>
          </w:p>
          <w:p w14:paraId="6B4D8227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组织机构代码：</w:t>
            </w:r>
          </w:p>
          <w:p w14:paraId="23C00112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电话：</w:t>
            </w:r>
          </w:p>
          <w:p w14:paraId="6D79BFF8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传真：</w:t>
            </w:r>
          </w:p>
          <w:p w14:paraId="3C12E624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开户银行：</w:t>
            </w:r>
          </w:p>
          <w:p w14:paraId="5B1E01F0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账号：</w:t>
            </w:r>
          </w:p>
          <w:p w14:paraId="5A08B644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 w:firstLine="440" w:firstLineChars="20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3667519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单位全称（盖章）：</w:t>
            </w:r>
          </w:p>
          <w:p w14:paraId="7AE6F17A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  <w:t>法定代表人/委托代理人：</w:t>
            </w:r>
          </w:p>
          <w:p w14:paraId="445C286A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  <w:t>开户名称：</w:t>
            </w:r>
          </w:p>
          <w:p w14:paraId="150D61D8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  <w:t>银行账户：</w:t>
            </w:r>
          </w:p>
          <w:p w14:paraId="6AFB0B41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  <w:t>纳税人识别号：</w:t>
            </w:r>
          </w:p>
          <w:p w14:paraId="1E3D5C77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  <w:t>地址：</w:t>
            </w:r>
          </w:p>
          <w:p w14:paraId="7CE8DE81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  <w:t>联系人：</w:t>
            </w:r>
          </w:p>
          <w:p w14:paraId="76EC214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textAlignment w:val="auto"/>
              <w:rPr>
                <w:rFonts w:hint="eastAsia" w:asciiTheme="majorEastAsia" w:hAnsiTheme="majorEastAsia" w:eastAsiaTheme="majorEastAsia" w:cstheme="majorEastAsia"/>
                <w:sz w:val="20"/>
                <w:szCs w:val="22"/>
                <w:lang w:val="en-US" w:eastAsia="zh-CN"/>
              </w:rPr>
            </w:pPr>
          </w:p>
          <w:p w14:paraId="5B9CCD4E">
            <w:pPr>
              <w:keepNext w:val="0"/>
              <w:keepLines w:val="0"/>
              <w:pageBreakBefore w:val="0"/>
              <w:tabs>
                <w:tab w:val="left" w:pos="980"/>
              </w:tabs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0" w:rightChars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</w:tbl>
    <w:p w14:paraId="293FAE8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right="0" w:rightChars="0"/>
        <w:textAlignment w:val="auto"/>
        <w:rPr>
          <w:rFonts w:hint="eastAsia" w:asciiTheme="majorEastAsia" w:hAnsiTheme="majorEastAsia" w:eastAsiaTheme="majorEastAsia" w:cstheme="majorEastAsia"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9b2064fa-637d-48c3-ab6f-743be6b915f6"/>
  </w:docVars>
  <w:rsids>
    <w:rsidRoot w:val="00000000"/>
    <w:rsid w:val="01826A17"/>
    <w:rsid w:val="0397607D"/>
    <w:rsid w:val="08147C9D"/>
    <w:rsid w:val="14441249"/>
    <w:rsid w:val="18F16A49"/>
    <w:rsid w:val="1C9C0D20"/>
    <w:rsid w:val="1D6152DA"/>
    <w:rsid w:val="234B5230"/>
    <w:rsid w:val="238D1AB4"/>
    <w:rsid w:val="263317DE"/>
    <w:rsid w:val="346838F0"/>
    <w:rsid w:val="36E91604"/>
    <w:rsid w:val="38A722E3"/>
    <w:rsid w:val="393E4435"/>
    <w:rsid w:val="394147CF"/>
    <w:rsid w:val="3F605D8A"/>
    <w:rsid w:val="461567B9"/>
    <w:rsid w:val="4C520100"/>
    <w:rsid w:val="51C5632B"/>
    <w:rsid w:val="53C03E02"/>
    <w:rsid w:val="593C217C"/>
    <w:rsid w:val="5CA97B29"/>
    <w:rsid w:val="5CEF416F"/>
    <w:rsid w:val="63B079EF"/>
    <w:rsid w:val="66F916AD"/>
    <w:rsid w:val="77B61176"/>
    <w:rsid w:val="7BFC2A96"/>
    <w:rsid w:val="7C44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textAlignment w:val="baseline"/>
      <w:outlineLvl w:val="3"/>
    </w:pPr>
    <w:rPr>
      <w:rFonts w:ascii="Cambria" w:hAnsi="Cambria" w:eastAsia="仿宋"/>
      <w:b/>
      <w:bCs/>
      <w:kern w:val="0"/>
      <w:szCs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4">
    <w:name w:val="Block Text"/>
    <w:basedOn w:val="1"/>
    <w:next w:val="5"/>
    <w:qFormat/>
    <w:uiPriority w:val="0"/>
    <w:pPr>
      <w:spacing w:after="120"/>
      <w:ind w:left="1440" w:leftChars="700" w:right="700" w:rightChars="700"/>
    </w:pPr>
  </w:style>
  <w:style w:type="paragraph" w:styleId="5">
    <w:name w:val="Plain Text"/>
    <w:basedOn w:val="1"/>
    <w:next w:val="1"/>
    <w:autoRedefine/>
    <w:qFormat/>
    <w:uiPriority w:val="0"/>
    <w:rPr>
      <w:rFonts w:ascii="宋体" w:hAnsi="宋体"/>
      <w:szCs w:val="21"/>
    </w:rPr>
  </w:style>
  <w:style w:type="paragraph" w:styleId="6">
    <w:name w:val="toc 1"/>
    <w:basedOn w:val="1"/>
    <w:next w:val="1"/>
    <w:qFormat/>
    <w:uiPriority w:val="0"/>
  </w:style>
  <w:style w:type="paragraph" w:customStyle="1" w:styleId="9">
    <w:name w:val="null3"/>
    <w:autoRedefine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2381</Words>
  <Characters>2436</Characters>
  <Lines>0</Lines>
  <Paragraphs>0</Paragraphs>
  <TotalTime>0</TotalTime>
  <ScaleCrop>false</ScaleCrop>
  <LinksUpToDate>false</LinksUpToDate>
  <CharactersWithSpaces>2664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2024-02-27T07:48:00Z</dcterms:created>
  <dc:creator>Hailan</dc:creator>
  <cp:lastModifiedBy>芫花花花花</cp:lastModifiedBy>
  <dcterms:modified xsi:type="dcterms:W3CDTF">2025-05-23T03:51:11Z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0909B54BE12242FB8C32DB63AD4498EB_12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