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版本号：TZZB-Z-2025098C20250523001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屋面防水工程项目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TZZB-Z-2025098C</w:t>
      </w:r>
      <w:r>
        <w:br/>
      </w:r>
      <w:r>
        <w:br/>
      </w:r>
      <w:r>
        <w:br/>
      </w:r>
    </w:p>
    <w:p>
      <w:pPr>
        <w:pStyle w:val="null3"/>
        <w:jc w:val="center"/>
        <w:outlineLvl w:val="2"/>
      </w:pPr>
      <w:r>
        <w:rPr>
          <w:rFonts w:ascii="仿宋_GB2312" w:hAnsi="仿宋_GB2312" w:cs="仿宋_GB2312" w:eastAsia="仿宋_GB2312"/>
          <w:sz w:val="28"/>
          <w:b/>
        </w:rPr>
        <w:t>陕西省渭南强制隔离戒毒所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陕西省渭南强制隔离戒毒所</w:t>
      </w:r>
      <w:r>
        <w:rPr>
          <w:rFonts w:ascii="仿宋_GB2312" w:hAnsi="仿宋_GB2312" w:cs="仿宋_GB2312" w:eastAsia="仿宋_GB2312"/>
        </w:rPr>
        <w:t>委托，拟对</w:t>
      </w:r>
      <w:r>
        <w:rPr>
          <w:rFonts w:ascii="仿宋_GB2312" w:hAnsi="仿宋_GB2312" w:cs="仿宋_GB2312" w:eastAsia="仿宋_GB2312"/>
        </w:rPr>
        <w:t>屋面防水工程项目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TZZB-Z-2025098C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屋面防水工程项目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1.建设地点：陕西省渭南市临渭区渭崇路 2.工程内容：本工程为陕西省渭南强制隔离戒毒所屋面防水工程项目。 主要包含内容有：戒毒人员餐厅屋面防水工程、戒毒人员习艺楼（1、2、3、4栋）屋面防水工程、戒毒人员宿舍楼（1、3、4、5栋）屋面防水等（具体详见工程量清单及图纸。）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采购包1（陕西省渭南强制隔离戒毒所屋面防水工程项目）：属于专门面向中小企业采购。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2、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10、供应商资质：供应商须具有建设部门颁发的合格有效的建筑工程施工总承包三级及以上资质或防水防腐保温工程专业承包二级及以上资质，并具备合格有效的安全生产许可证。</w:t>
      </w:r>
    </w:p>
    <w:p>
      <w:pPr>
        <w:pStyle w:val="null3"/>
      </w:pPr>
      <w:r>
        <w:rPr>
          <w:rFonts w:ascii="仿宋_GB2312" w:hAnsi="仿宋_GB2312" w:cs="仿宋_GB2312" w:eastAsia="仿宋_GB2312"/>
        </w:rPr>
        <w:t>11、拟派项目负责人资质和专业要求：拟派本项目的项目负责人须具备建筑工程专业二级及以上注册建造师资格，并持有效的安全生产考核合格证书（建安 B 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渭南市临渭区渭崇路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0913-8183808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陕西省渭南强制隔离戒毒所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陕西省渭南强制隔离戒毒所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屋面防水</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标的名称：屋面防水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所有屋面施工前须清理屋面上所有垃圾、垃圾外运，并将屋面清洗干净，以确保底油的粘接力。屋面如有鼓包位置，须将该部位进行施工前处理。</w:t>
            </w:r>
          </w:p>
          <w:p>
            <w:pPr>
              <w:pStyle w:val="null3"/>
              <w:jc w:val="both"/>
            </w:pPr>
            <w:r>
              <w:rPr>
                <w:rFonts w:ascii="仿宋_GB2312" w:hAnsi="仿宋_GB2312" w:cs="仿宋_GB2312" w:eastAsia="仿宋_GB2312"/>
                <w:sz w:val="21"/>
              </w:rPr>
              <w:t>如原有防水层大面积空鼓，要求将原防水层清除掉，垃圾外运，并将屋面清洗干净后重做防水。如找平层风化严重，不符合防水卷材施工规范要求，则重新铺设水泥砂浆，水泥砂浆最薄处不少于</w:t>
            </w:r>
            <w:r>
              <w:rPr>
                <w:rFonts w:ascii="仿宋_GB2312" w:hAnsi="仿宋_GB2312" w:cs="仿宋_GB2312" w:eastAsia="仿宋_GB2312"/>
                <w:sz w:val="21"/>
              </w:rPr>
              <w:t>4cm。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对原漏水严重及裂缝处进行处理后，在屋面上均匀布设底油。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铺设</w:t>
            </w:r>
            <w:r>
              <w:rPr>
                <w:rFonts w:ascii="仿宋_GB2312" w:hAnsi="仿宋_GB2312" w:cs="仿宋_GB2312" w:eastAsia="仿宋_GB2312"/>
                <w:sz w:val="21"/>
              </w:rPr>
              <w:t>SBS（高聚物改性沥青）防水卷材，要求卷材为雨水情、晴空、东方雨虹等一线品牌。Ⅰ型卷材，卷材厚度不小于4mm，聚酯毡胎基。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屋面防水等级为</w:t>
            </w:r>
            <w:r>
              <w:rPr>
                <w:rFonts w:ascii="仿宋_GB2312" w:hAnsi="仿宋_GB2312" w:cs="仿宋_GB2312" w:eastAsia="仿宋_GB2312"/>
                <w:sz w:val="21"/>
              </w:rPr>
              <w:t>II级，一道设防。搭接宽度正确（短边搭接叠压不小于15cm、长边搭接叠压不小于10 cm），女儿墙处上翻至女儿墙外檐。表面接缝严密、无褶皱、鼓包和翘边等现象。防水工程做法执行屋面工程技术规范(GB50345-2012)。</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屋面变形缝、落水口等细部节点处需做附加层施工。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0"/>
              </w:rPr>
              <w:t>1.付款方式、条件：</w:t>
            </w:r>
          </w:p>
          <w:p>
            <w:pPr>
              <w:pStyle w:val="null3"/>
              <w:jc w:val="both"/>
            </w:pPr>
            <w:r>
              <w:rPr>
                <w:rFonts w:ascii="仿宋_GB2312" w:hAnsi="仿宋_GB2312" w:cs="仿宋_GB2312" w:eastAsia="仿宋_GB2312"/>
                <w:sz w:val="20"/>
              </w:rPr>
              <w:t>1.1结算单位：采购人结算，在付款前，成交供应商必须开具全额增值税专用发票给采购人。</w:t>
            </w:r>
          </w:p>
          <w:p>
            <w:pPr>
              <w:pStyle w:val="null3"/>
              <w:jc w:val="both"/>
            </w:pPr>
            <w:r>
              <w:rPr>
                <w:rFonts w:ascii="仿宋_GB2312" w:hAnsi="仿宋_GB2312" w:cs="仿宋_GB2312" w:eastAsia="仿宋_GB2312"/>
                <w:sz w:val="20"/>
              </w:rPr>
              <w:t>1.2 付款方式：</w:t>
            </w:r>
          </w:p>
          <w:p>
            <w:pPr>
              <w:pStyle w:val="null3"/>
              <w:jc w:val="both"/>
            </w:pPr>
            <w:r>
              <w:rPr>
                <w:rFonts w:ascii="仿宋_GB2312" w:hAnsi="仿宋_GB2312" w:cs="仿宋_GB2312" w:eastAsia="仿宋_GB2312"/>
                <w:sz w:val="20"/>
              </w:rPr>
              <w:t>合同签订后采购人向成交人支付合同总价款</w:t>
            </w:r>
            <w:r>
              <w:rPr>
                <w:rFonts w:ascii="仿宋_GB2312" w:hAnsi="仿宋_GB2312" w:cs="仿宋_GB2312" w:eastAsia="仿宋_GB2312"/>
                <w:sz w:val="20"/>
              </w:rPr>
              <w:t>40%，施工完成且经采购人验收合格后，采购人向成交人支付剩余合同价款。</w:t>
            </w:r>
          </w:p>
          <w:p>
            <w:pPr>
              <w:pStyle w:val="null3"/>
              <w:jc w:val="both"/>
            </w:pPr>
            <w:r>
              <w:rPr>
                <w:rFonts w:ascii="仿宋_GB2312" w:hAnsi="仿宋_GB2312" w:cs="仿宋_GB2312" w:eastAsia="仿宋_GB2312"/>
                <w:sz w:val="20"/>
              </w:rPr>
              <w:t>1.3工程质保金:工程质保金为合同总价款的5%。在采购人付清剩余合同款后，由成交单位缴纳至采购单位指定账户。(5年后无质量问题向成交单位一次性不计息返还)</w:t>
            </w:r>
          </w:p>
          <w:p>
            <w:pPr>
              <w:pStyle w:val="null3"/>
              <w:spacing w:after="120"/>
              <w:jc w:val="both"/>
            </w:pPr>
            <w:r>
              <w:rPr>
                <w:rFonts w:ascii="仿宋_GB2312" w:hAnsi="仿宋_GB2312" w:cs="仿宋_GB2312" w:eastAsia="仿宋_GB2312"/>
                <w:sz w:val="20"/>
              </w:rPr>
              <w:t>2.质量保修期：竣工验收合格之日起5年。</w:t>
            </w:r>
          </w:p>
          <w:p>
            <w:pPr>
              <w:pStyle w:val="null3"/>
              <w:spacing w:after="120"/>
              <w:jc w:val="both"/>
            </w:pPr>
            <w:r>
              <w:rPr>
                <w:rFonts w:ascii="仿宋_GB2312" w:hAnsi="仿宋_GB2312" w:cs="仿宋_GB2312" w:eastAsia="仿宋_GB2312"/>
                <w:sz w:val="20"/>
              </w:rPr>
              <w:t>3.工期：合同签订后 30 日历天完工。</w:t>
            </w:r>
          </w:p>
          <w:p>
            <w:pPr>
              <w:pStyle w:val="null3"/>
              <w:spacing w:after="120"/>
              <w:jc w:val="both"/>
            </w:pPr>
            <w:r>
              <w:rPr>
                <w:rFonts w:ascii="仿宋_GB2312" w:hAnsi="仿宋_GB2312" w:cs="仿宋_GB2312" w:eastAsia="仿宋_GB2312"/>
                <w:sz w:val="20"/>
              </w:rPr>
              <w:t>4.防水卷材需经甲方认质，符合国标要求。</w:t>
            </w:r>
          </w:p>
          <w:p>
            <w:pPr>
              <w:pStyle w:val="null3"/>
              <w:spacing w:after="120"/>
              <w:jc w:val="both"/>
            </w:pPr>
            <w:r>
              <w:rPr>
                <w:rFonts w:ascii="仿宋_GB2312" w:hAnsi="仿宋_GB2312" w:cs="仿宋_GB2312" w:eastAsia="仿宋_GB2312"/>
                <w:sz w:val="20"/>
              </w:rPr>
              <w:t>5.承包方必须对其现场人员、设备及财产的安全负责。在施工及材料的运输等过程中发生的一切人身安全、财产损失、损害、意外事故及对第三方造成的损失，均由乙方承担，甲方不承担任何经济及连带责任。</w:t>
            </w:r>
          </w:p>
          <w:p>
            <w:pPr>
              <w:pStyle w:val="null3"/>
              <w:spacing w:after="120"/>
              <w:jc w:val="both"/>
            </w:pPr>
            <w:r>
              <w:rPr>
                <w:rFonts w:ascii="仿宋_GB2312" w:hAnsi="仿宋_GB2312" w:cs="仿宋_GB2312" w:eastAsia="仿宋_GB2312"/>
                <w:sz w:val="20"/>
              </w:rPr>
              <w:t>6.承包方在施工期间需做好对已有工程的保护，如有损坏，自行免费修补。</w:t>
            </w:r>
          </w:p>
          <w:p>
            <w:pPr>
              <w:pStyle w:val="null3"/>
              <w:spacing w:after="120"/>
              <w:jc w:val="both"/>
            </w:pPr>
            <w:r>
              <w:rPr>
                <w:rFonts w:ascii="仿宋_GB2312" w:hAnsi="仿宋_GB2312" w:cs="仿宋_GB2312" w:eastAsia="仿宋_GB2312"/>
                <w:sz w:val="20"/>
              </w:rPr>
              <w:t>7.工完场清，当日作业当日清，非作业面无施工垃圾。</w:t>
            </w:r>
          </w:p>
          <w:p>
            <w:pPr>
              <w:pStyle w:val="null3"/>
              <w:spacing w:after="120"/>
              <w:jc w:val="both"/>
            </w:pPr>
            <w:r>
              <w:rPr>
                <w:rFonts w:ascii="仿宋_GB2312" w:hAnsi="仿宋_GB2312" w:cs="仿宋_GB2312" w:eastAsia="仿宋_GB2312"/>
                <w:sz w:val="20"/>
              </w:rPr>
              <w:t>8.因承包人原因不能按照协议书约定的日期竣工时，承包人应承担违约责任，按1000元/天计违约金。</w:t>
            </w:r>
          </w:p>
          <w:p>
            <w:pPr>
              <w:pStyle w:val="null3"/>
              <w:spacing w:after="120"/>
              <w:jc w:val="both"/>
            </w:pPr>
            <w:r>
              <w:rPr>
                <w:rFonts w:ascii="仿宋_GB2312" w:hAnsi="仿宋_GB2312" w:cs="仿宋_GB2312" w:eastAsia="仿宋_GB2312"/>
                <w:sz w:val="20"/>
              </w:rPr>
              <w:t>9.达不到约定质量标准由承包人自费修补缺陷，直至达到约定标准；否则由承包人承担拆除和重新施工的费用，工期不予顺延，同时按承包款的2%一次计扣违约金。</w:t>
            </w:r>
          </w:p>
          <w:p>
            <w:pPr>
              <w:pStyle w:val="null3"/>
              <w:spacing w:after="120"/>
              <w:jc w:val="both"/>
            </w:pPr>
            <w:r>
              <w:rPr>
                <w:rFonts w:ascii="仿宋_GB2312" w:hAnsi="仿宋_GB2312" w:cs="仿宋_GB2312" w:eastAsia="仿宋_GB2312"/>
                <w:sz w:val="20"/>
              </w:rPr>
              <w:t>10.施工过程水电费由中标人承担，中标人在采购人第一次付款前须缴纳500元水电费。</w:t>
            </w:r>
          </w:p>
          <w:p>
            <w:pPr>
              <w:pStyle w:val="null3"/>
              <w:spacing w:after="120"/>
              <w:jc w:val="both"/>
            </w:pPr>
            <w:r>
              <w:rPr>
                <w:rFonts w:ascii="仿宋_GB2312" w:hAnsi="仿宋_GB2312" w:cs="仿宋_GB2312" w:eastAsia="仿宋_GB2312"/>
                <w:sz w:val="20"/>
              </w:rPr>
              <w:t>11.分区域施工，提高效率。</w:t>
            </w:r>
          </w:p>
          <w:p>
            <w:pPr>
              <w:pStyle w:val="null3"/>
              <w:spacing w:after="120"/>
              <w:jc w:val="both"/>
            </w:pPr>
            <w:r>
              <w:rPr>
                <w:rFonts w:ascii="仿宋_GB2312" w:hAnsi="仿宋_GB2312" w:cs="仿宋_GB2312" w:eastAsia="仿宋_GB2312"/>
                <w:sz w:val="20"/>
              </w:rPr>
              <w:t>12.各类标志牌、安全操作规程牌一律统一规格尺寸，要求整齐放置醒目处。</w:t>
            </w:r>
          </w:p>
          <w:p>
            <w:pPr>
              <w:pStyle w:val="null3"/>
              <w:spacing w:after="120"/>
              <w:jc w:val="both"/>
            </w:pPr>
            <w:r>
              <w:rPr>
                <w:rFonts w:ascii="仿宋_GB2312" w:hAnsi="仿宋_GB2312" w:cs="仿宋_GB2312" w:eastAsia="仿宋_GB2312"/>
                <w:sz w:val="20"/>
              </w:rPr>
              <w:t>13.施工人员必须戴安全帽、工作牌，加强安全措施，并对施工人员进行安全教育。</w:t>
            </w:r>
          </w:p>
          <w:p>
            <w:pPr>
              <w:pStyle w:val="null3"/>
              <w:spacing w:after="120"/>
              <w:jc w:val="both"/>
            </w:pPr>
            <w:r>
              <w:rPr>
                <w:rFonts w:ascii="仿宋_GB2312" w:hAnsi="仿宋_GB2312" w:cs="仿宋_GB2312" w:eastAsia="仿宋_GB2312"/>
                <w:sz w:val="20"/>
              </w:rPr>
              <w:t>14.主干道须保持畅通无阻，进场机具、工具、材料等码放整齐。</w:t>
            </w:r>
          </w:p>
          <w:p>
            <w:pPr>
              <w:pStyle w:val="null3"/>
              <w:jc w:val="both"/>
            </w:pPr>
            <w:r>
              <w:rPr>
                <w:rFonts w:ascii="仿宋_GB2312" w:hAnsi="仿宋_GB2312" w:cs="仿宋_GB2312" w:eastAsia="仿宋_GB2312"/>
                <w:sz w:val="20"/>
              </w:rPr>
              <w:t>15.项目检验与验收</w:t>
            </w:r>
          </w:p>
          <w:p>
            <w:pPr>
              <w:pStyle w:val="null3"/>
              <w:jc w:val="both"/>
            </w:pPr>
            <w:r>
              <w:rPr>
                <w:rFonts w:ascii="仿宋_GB2312" w:hAnsi="仿宋_GB2312" w:cs="仿宋_GB2312" w:eastAsia="仿宋_GB2312"/>
                <w:sz w:val="20"/>
              </w:rPr>
              <w:t>15.1成交供应商向采购人提交项目实施过程中的所有资料。</w:t>
            </w:r>
          </w:p>
          <w:p>
            <w:pPr>
              <w:pStyle w:val="null3"/>
              <w:jc w:val="both"/>
            </w:pPr>
            <w:r>
              <w:rPr>
                <w:rFonts w:ascii="仿宋_GB2312" w:hAnsi="仿宋_GB2312" w:cs="仿宋_GB2312" w:eastAsia="仿宋_GB2312"/>
                <w:sz w:val="20"/>
              </w:rPr>
              <w:t>15.2验收须以合同、磋商文件及磋商响应文件、澄清、及国家相应的标准、规范等为依据。</w:t>
            </w:r>
          </w:p>
          <w:p>
            <w:pPr>
              <w:pStyle w:val="null3"/>
              <w:jc w:val="both"/>
            </w:pPr>
            <w:r>
              <w:rPr>
                <w:rFonts w:ascii="仿宋_GB2312" w:hAnsi="仿宋_GB2312" w:cs="仿宋_GB2312" w:eastAsia="仿宋_GB2312"/>
                <w:sz w:val="20"/>
              </w:rPr>
              <w:t>15.3符合中华人民共和国国家和履约地相关安全质量标准、行业技术规范标准、环保节能标准；</w:t>
            </w:r>
          </w:p>
          <w:p>
            <w:pPr>
              <w:pStyle w:val="null3"/>
              <w:jc w:val="both"/>
            </w:pPr>
            <w:r>
              <w:rPr>
                <w:rFonts w:ascii="仿宋_GB2312" w:hAnsi="仿宋_GB2312" w:cs="仿宋_GB2312" w:eastAsia="仿宋_GB2312"/>
                <w:sz w:val="20"/>
              </w:rPr>
              <w:t>15.4双方约定的其他验收标准。</w:t>
            </w:r>
          </w:p>
          <w:p>
            <w:pPr>
              <w:pStyle w:val="null3"/>
              <w:jc w:val="both"/>
            </w:pPr>
            <w:r>
              <w:rPr>
                <w:rFonts w:ascii="仿宋_GB2312" w:hAnsi="仿宋_GB2312" w:cs="仿宋_GB2312" w:eastAsia="仿宋_GB2312"/>
                <w:sz w:val="20"/>
              </w:rPr>
              <w:t>15.5采购人在合同的履行期间以及履行期后，可以随时检查项目的执行情况，对采购标准、采购内容进行调查核实，并对发现的问题进行处理。</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 （1）成交供应商在采购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西安市雁塔区科技二路71号竹园·天寰国际1107室。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一般资格要求及特殊资格要求.docx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一般资格要求及特殊资格要求.docx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供应商须具有建设部门颁发的合格有效的建筑工程施工总承包三级及以上资质或防水防腐保温工程专业承包二级及以上资质，并具备合格有效的安全生产许可证。</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拟派本项目的项目负责人须具备建筑工程专业二级及以上注册建造师资格，并持有效的安全生产考核合格证书（建安 B 证），在本单位注册且无在建工程（提供承诺书）。</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一般资格要求及特殊资格要求.docx 业绩一览表.docx 已标价工程量清单 项目管理机构组成表 中小企业声明函 残疾人福利性单位声明函 总实施方案.docx 技术服务合同条款及其他商务要求应答表 响应函 监狱企业的证明文件 其他材料及供应商认为有必要说明、阐述的事项.docx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 一般资格要求及特殊资格要求.docx 业绩一览表.docx 已标价工程量清单 项目管理机构组成表 中小企业声明函 残疾人福利性单位声明函 总实施方案.docx 技术服务合同条款及其他商务要求应答表 响应函 监狱企业的证明文件 其他材料及供应商认为有必要说明、阐述的事项.docx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工期、质量保修期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响应文件封面 一般资格要求及特殊资格要求.docx 业绩一览表.docx 已标价工程量清单 项目管理机构组成表 中小企业声明函 残疾人福利性单位声明函 总实施方案.docx 技术服务合同条款及其他商务要求应答表 响应函 监狱企业的证明文件 其他材料及供应商认为有必要说明、阐述的事项.docx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针对本项目采购需求及项目实际情况，制定施工方案（包括但不限于①项目整体设想、②项目重点难点、③实施流程、④管理规章制度方案） 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针对本项目采购需求及项目实际情况，设有项目组织管理机构：①组织结构健全，有完善的岗位制度和岗位职责，人员安排合理、分工明确，可操作性强，计4-6分； ②组织结构较为健全，有较为完善的岗位制度和岗位职责，人员安排及分工较为合理，具有一定的操作性，计2-4分； ③组织结构不健全，岗位制度和岗位职责安排简单，操作性较差，计1-2分；④未提供不得分。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针对本项目采购需求及项目实际情况，提供文明施工及环境保护措施：①文明施工及环境保护措施描述完整、全面、可操作性强、满足采购需求，计6-8分 ； ②文明施工及环境保护措施较完整、全面，有可操作性、较满足采购需求，计3-6分； ③文明施工及环境保护措施基本满足采购需求，计1-3分；④未提供不得分。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针对本项目提供质量保障措施。① 各阶段目标、流程、措施等科学、合理、可操作性强，得6-9分； ②目标、流程、措施等比较合理、可操作性较强，得3-6分； ③目标、流程、措施等基本合理、可操作性一般得1-3分； ④未提供不得分。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针对本项目采购需求及项目实际情况，提供进度保障措施。包括各阶段工作安排及交付计划、工作进度计划:①方案内容具体、完整、详细、全面，计6-8分；②方案内容较具体、完整、详细、全面，计3-6分；③方案内容基本具体、完整、详细、全面，计1-3分；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机械工具配备</w:t>
            </w:r>
          </w:p>
        </w:tc>
        <w:tc>
          <w:tcPr>
            <w:tcW w:type="dxa" w:w="2492"/>
          </w:tcPr>
          <w:p>
            <w:pPr>
              <w:pStyle w:val="null3"/>
            </w:pPr>
            <w:r>
              <w:rPr>
                <w:rFonts w:ascii="仿宋_GB2312" w:hAnsi="仿宋_GB2312" w:cs="仿宋_GB2312" w:eastAsia="仿宋_GB2312"/>
              </w:rPr>
              <w:t>根据所配备的机械工具综合赋分。①工具齐全，功能完全满足项目需要，计 5-7分；②工具齐全，功能基本满足项目需要，计 3-5 分；③工具不全、不能满足项目需要，计 1-3分；④未提供不得分。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维修服务方案及保修承诺1</w:t>
            </w:r>
          </w:p>
        </w:tc>
        <w:tc>
          <w:tcPr>
            <w:tcW w:type="dxa" w:w="2492"/>
          </w:tcPr>
          <w:p>
            <w:pPr>
              <w:pStyle w:val="null3"/>
            </w:pPr>
            <w:r>
              <w:rPr>
                <w:rFonts w:ascii="仿宋_GB2312" w:hAnsi="仿宋_GB2312" w:cs="仿宋_GB2312" w:eastAsia="仿宋_GB2312"/>
              </w:rPr>
              <w:t>根据本项目采购内容及项目实际情况，提供维修服务方案（包括但不限于①维修服务响应时间、②服务保证措施、③服务计划、④维修服务内容） 以上内容完整、不存在瑕疵，得12分；每缺一项扣3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维修服务方案及保修承诺</w:t>
            </w:r>
          </w:p>
        </w:tc>
        <w:tc>
          <w:tcPr>
            <w:tcW w:type="dxa" w:w="2492"/>
          </w:tcPr>
          <w:p>
            <w:pPr>
              <w:pStyle w:val="null3"/>
            </w:pPr>
            <w:r>
              <w:rPr>
                <w:rFonts w:ascii="仿宋_GB2312" w:hAnsi="仿宋_GB2312" w:cs="仿宋_GB2312" w:eastAsia="仿宋_GB2312"/>
              </w:rPr>
              <w:t>供应商提供保修承诺，未提供不得分。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针对本项目采购需求及项目实际情况，能够提出有价值的合理化建议，且具体切实可行，有利于提升本项目整体施工质量。 ①建议合理、切实可行，内容详尽、全面，计3-5分；②建议较合理、可行，内容较详尽、全面，计2-3分；③建议基本合理、可行，内容基本详尽、全面，计1-2分；④未提供不得分。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供应商提供2022年5月1日以来类似项目业绩，每份合格业绩计2.5分，满分5分。（注：提供业绩中标/成交通知书或合同为佐证材料，以中标/成交通知书或合同签订时间为依据）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价格分统一采用低价优先法计算，即满足采购文件要求且价格最低的投标报价为评标基准价，其价格分为满分。其他供应商的价格分统一按照下列公式计算：价格分=(评标基准价／投标报价)×报价分值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