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版本号：BC-2025-051220250530002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太白校区教学楼屋面防水维修项目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BC-2025-0512</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佰晨项目管理有限公司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佰晨项目管理有限公司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太白校区教学楼屋面防水维修项目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BC-2025-0512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太白校区教学楼屋面防水维修项目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太白校区教学楼屋面防水维修项目，主要内容:铲除原有防水层、混凝土找平层、新做细石混凝土找平层及铺设双层 SBS改性沥青防水卷材，施工面积大约1600平方左右;更换落水管大约 160 米等。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采购包1（太白校区教学楼屋面防水维修项目）：属于专门面向中小企业采购。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1、供应商资质：供应商具备建筑工程施工总承包三级以上（含三级）资质或建筑装修装饰工程专业承包二级以上（含二级）资质，及有效的安全生产许可证；（不接受批准件）</w:t>
      </w:r>
    </w:p>
    <w:p>
      <w:pPr>
        <w:pStyle w:val="null3"/>
      </w:pPr>
      <w:r>
        <w:rPr>
          <w:rFonts w:ascii="仿宋_GB2312" w:hAnsi="仿宋_GB2312" w:cs="仿宋_GB2312" w:eastAsia="仿宋_GB2312"/>
        </w:rPr>
        <w:t>2、拟派项目负责人资质及专业要求：项目经理需具备建筑工程专业二级及以上（含二级）注册建造师证书和安全生产考核合格证（B证），且无在建工程项目（提供承诺函）；</w:t>
      </w:r>
    </w:p>
    <w:p>
      <w:pPr>
        <w:pStyle w:val="null3"/>
      </w:pPr>
      <w:r>
        <w:rPr>
          <w:rFonts w:ascii="仿宋_GB2312" w:hAnsi="仿宋_GB2312" w:cs="仿宋_GB2312" w:eastAsia="仿宋_GB2312"/>
        </w:rPr>
        <w:t>3、供应商及项目经理信息在“陕西省建筑市场监管与诚信信息发布平台”可查询：供应商及项目经理信息在“陕西省建筑市场监管与诚信信息发布平台”可查询，提供截图；</w:t>
      </w:r>
    </w:p>
    <w:p>
      <w:pPr>
        <w:pStyle w:val="null3"/>
      </w:pPr>
      <w:r>
        <w:rPr>
          <w:rFonts w:ascii="仿宋_GB2312" w:hAnsi="仿宋_GB2312" w:cs="仿宋_GB2312" w:eastAsia="仿宋_GB2312"/>
        </w:rPr>
        <w:t>4、本项目专门面向中小企业采购：本项目专门面向中小企业采购，供应商应为中小微企业或监狱企业或残疾人福利性单位；</w:t>
      </w:r>
    </w:p>
    <w:p>
      <w:pPr>
        <w:pStyle w:val="null3"/>
      </w:pPr>
      <w:r>
        <w:rPr>
          <w:rFonts w:ascii="仿宋_GB2312" w:hAnsi="仿宋_GB2312" w:cs="仿宋_GB2312" w:eastAsia="仿宋_GB2312"/>
        </w:rPr>
        <w:t>5、信用查询 ：供应商不得被“信用中国”网站（www.creditchina.gov.cn）列入失信被执行人或重大税收违法失信主体名单，不得被财政部门在中国政府采购网（www.ccgp.gov.cn）政府采购严重违法失信行为记录名单中禁止参加政府采购活动。可由代理现场查询。</w:t>
      </w:r>
    </w:p>
    <w:p>
      <w:pPr>
        <w:pStyle w:val="null3"/>
      </w:pPr>
      <w:r>
        <w:rPr>
          <w:rFonts w:ascii="仿宋_GB2312" w:hAnsi="仿宋_GB2312" w:cs="仿宋_GB2312" w:eastAsia="仿宋_GB2312"/>
        </w:rPr>
        <w:t>6、法定代表人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pPr>
        <w:pStyle w:val="null3"/>
      </w:pPr>
      <w:r>
        <w:rPr>
          <w:rFonts w:ascii="仿宋_GB2312" w:hAnsi="仿宋_GB2312" w:cs="仿宋_GB2312" w:eastAsia="仿宋_GB2312"/>
        </w:rPr>
        <w:t>7、本项目不接受联合体参与：供应商进行承诺或说明；</w:t>
      </w:r>
    </w:p>
    <w:p>
      <w:pPr>
        <w:pStyle w:val="null3"/>
      </w:pPr>
      <w:r>
        <w:rPr>
          <w:rFonts w:ascii="仿宋_GB2312" w:hAnsi="仿宋_GB2312" w:cs="仿宋_GB2312" w:eastAsia="仿宋_GB2312"/>
        </w:rPr>
        <w:t>8、其它要求：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佰晨项目管理有限公司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西安市西咸新区沣东新城文宣一路中兴深蓝科技产业园三期3号楼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18165305497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和国家发展和改革委员会办公厅颁发的《关于采购代理服务收费有关问题的通知》（发改办价格〔2003〕857号）的有关规定标准计取，不足5000元，按5000元收取。 供应商将招标代理服务费计入投标报价但不单独列明，中标单位在领取中标通知书前，须向采购代理机构一次性支付招标代理服务费；代理服务费以转账、电汇或现金等形式交纳。 代理费缴纳账号信息： 公司名称：佰晨项目管理有限公司 开户行：交通银行股份有限公司西安兴庆南路支行账号：611301035013002065318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佰晨项目管理有限公司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佰晨项目管理有限公司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佰晨项目管理有限公司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一、合同文本，磋商文件，响应文件，国内相应的标准、规范等。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联系电话：18165305497</w:t>
      </w:r>
    </w:p>
    <w:p>
      <w:pPr>
        <w:pStyle w:val="null3"/>
      </w:pPr>
      <w:r>
        <w:rPr>
          <w:rFonts w:ascii="仿宋_GB2312" w:hAnsi="仿宋_GB2312" w:cs="仿宋_GB2312" w:eastAsia="仿宋_GB2312"/>
        </w:rPr>
        <w:t>地址：陕西省西安市雁塔区西安市科技二路启迪清扬时代D座10楼21001室（或发送至本邮箱，以到达时间为准Baichenxiangmu@163.com ）</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272,000.00</w:t>
      </w:r>
    </w:p>
    <w:p>
      <w:pPr>
        <w:pStyle w:val="null3"/>
      </w:pPr>
      <w:r>
        <w:rPr>
          <w:rFonts w:ascii="仿宋_GB2312" w:hAnsi="仿宋_GB2312" w:cs="仿宋_GB2312" w:eastAsia="仿宋_GB2312"/>
        </w:rPr>
        <w:t>采购包最高限价（元）: 271,513.95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屋面防水维修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标的名称：屋面防水维修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pPr>
            <w:r>
              <w:rPr>
                <w:rFonts w:ascii="仿宋_GB2312" w:hAnsi="仿宋_GB2312" w:cs="仿宋_GB2312" w:eastAsia="仿宋_GB2312"/>
              </w:rPr>
              <w:t>太白校区教学楼屋面防水维修项目，主要内容：铲除原有防水层、混凝土找平层、新做细石混凝土找平层及铺设双层</w:t>
            </w:r>
            <w:r>
              <w:rPr>
                <w:rFonts w:ascii="仿宋_GB2312" w:hAnsi="仿宋_GB2312" w:cs="仿宋_GB2312" w:eastAsia="仿宋_GB2312"/>
              </w:rPr>
              <w:t>SBS改性沥青防水卷材，施工面积大约1600平方左右；更换落水管大约160米等。</w:t>
            </w:r>
          </w:p>
          <w:p>
            <w:pPr>
              <w:pStyle w:val="null3"/>
            </w:pPr>
            <w:r>
              <w:rPr>
                <w:rFonts w:ascii="仿宋_GB2312" w:hAnsi="仿宋_GB2312" w:cs="仿宋_GB2312" w:eastAsia="仿宋_GB2312"/>
              </w:rPr>
              <w:t>二、施工工艺</w:t>
            </w:r>
          </w:p>
          <w:p>
            <w:pPr>
              <w:pStyle w:val="null3"/>
            </w:pPr>
            <w:r>
              <w:rPr>
                <w:rFonts w:ascii="仿宋_GB2312" w:hAnsi="仿宋_GB2312" w:cs="仿宋_GB2312" w:eastAsia="仿宋_GB2312"/>
              </w:rPr>
              <w:t>铲除原防水层</w:t>
            </w:r>
            <w:r>
              <w:rPr>
                <w:rFonts w:ascii="仿宋_GB2312" w:hAnsi="仿宋_GB2312" w:cs="仿宋_GB2312" w:eastAsia="仿宋_GB2312"/>
              </w:rPr>
              <w:t>→破除混凝土找平层→垃圾清运→新做5cm厚C20细石混凝土找平层→基层处理→刷冷底子油两遍→铺贴第一层SBS防水卷材→铺贴第二层SBS防水卷材→细部节点处理→更换落水管→验收。</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1. 铲除原屋面、女儿墙及炮楼卷材防水层，铲除原有防水卷材层、厚空鼓混凝土找平层，彻底清除基层残留的胶粘剂和杂物，技术要求：基层表面应坚实、平整、干净、干燥。</w:t>
            </w:r>
          </w:p>
          <w:p>
            <w:pPr>
              <w:pStyle w:val="null3"/>
            </w:pPr>
            <w:r>
              <w:rPr>
                <w:rFonts w:ascii="仿宋_GB2312" w:hAnsi="仿宋_GB2312" w:cs="仿宋_GB2312" w:eastAsia="仿宋_GB2312"/>
              </w:rPr>
              <w:t>2. 垃圾清运：做到工完场清，符合环保要求</w:t>
            </w:r>
          </w:p>
          <w:p>
            <w:pPr>
              <w:pStyle w:val="null3"/>
            </w:pPr>
            <w:r>
              <w:rPr>
                <w:rFonts w:ascii="仿宋_GB2312" w:hAnsi="仿宋_GB2312" w:cs="仿宋_GB2312" w:eastAsia="仿宋_GB2312"/>
              </w:rPr>
              <w:t>3. 新做5c</w:t>
            </w:r>
            <w:r>
              <w:rPr>
                <w:rFonts w:ascii="仿宋_GB2312" w:hAnsi="仿宋_GB2312" w:cs="仿宋_GB2312" w:eastAsia="仿宋_GB2312"/>
                <w:sz w:val="28"/>
              </w:rPr>
              <w:t>m</w:t>
            </w:r>
            <w:r>
              <w:rPr>
                <w:rFonts w:ascii="仿宋_GB2312" w:hAnsi="仿宋_GB2312" w:cs="仿宋_GB2312" w:eastAsia="仿宋_GB2312"/>
              </w:rPr>
              <w:t>厚</w:t>
            </w:r>
            <w:r>
              <w:rPr>
                <w:rFonts w:ascii="仿宋_GB2312" w:hAnsi="仿宋_GB2312" w:cs="仿宋_GB2312" w:eastAsia="仿宋_GB2312"/>
              </w:rPr>
              <w:t>C20细石混凝土找平层</w:t>
            </w:r>
          </w:p>
          <w:p>
            <w:pPr>
              <w:pStyle w:val="null3"/>
            </w:pPr>
            <w:r>
              <w:rPr>
                <w:rFonts w:ascii="仿宋_GB2312" w:hAnsi="仿宋_GB2312" w:cs="仿宋_GB2312" w:eastAsia="仿宋_GB2312"/>
              </w:rPr>
              <w:t>（</w:t>
            </w:r>
            <w:r>
              <w:rPr>
                <w:rFonts w:ascii="仿宋_GB2312" w:hAnsi="仿宋_GB2312" w:cs="仿宋_GB2312" w:eastAsia="仿宋_GB2312"/>
              </w:rPr>
              <w:t>1）材料要求：水泥采用P.O 42.5，中砂，石子粒径5-10mm，配合比：水泥:砂:石=1:2:3（重量比），水灰比0.5</w:t>
            </w:r>
          </w:p>
          <w:p>
            <w:pPr>
              <w:pStyle w:val="null3"/>
            </w:pPr>
            <w:r>
              <w:rPr>
                <w:rFonts w:ascii="仿宋_GB2312" w:hAnsi="仿宋_GB2312" w:cs="仿宋_GB2312" w:eastAsia="仿宋_GB2312"/>
              </w:rPr>
              <w:t>（</w:t>
            </w:r>
            <w:r>
              <w:rPr>
                <w:rFonts w:ascii="仿宋_GB2312" w:hAnsi="仿宋_GB2312" w:cs="仿宋_GB2312" w:eastAsia="仿宋_GB2312"/>
              </w:rPr>
              <w:t>2）施工工艺： 表面平整度偏差≤5mm/2m -，无裂缝、起砂、空鼓现象，养护充分，强度达到设计要求，浇筑时每隔6米留一道20mm宽伸缩缝，终凝后沥青油膏灌缝。</w:t>
            </w:r>
          </w:p>
          <w:p>
            <w:pPr>
              <w:pStyle w:val="null3"/>
            </w:pPr>
            <w:r>
              <w:rPr>
                <w:rFonts w:ascii="仿宋_GB2312" w:hAnsi="仿宋_GB2312" w:cs="仿宋_GB2312" w:eastAsia="仿宋_GB2312"/>
              </w:rPr>
              <w:t>4. 新做3mm厚SBS聚酯胎-20℃卷材防水（两层）</w:t>
            </w:r>
          </w:p>
          <w:p>
            <w:pPr>
              <w:pStyle w:val="null3"/>
            </w:pPr>
            <w:r>
              <w:rPr>
                <w:rFonts w:ascii="仿宋_GB2312" w:hAnsi="仿宋_GB2312" w:cs="仿宋_GB2312" w:eastAsia="仿宋_GB2312"/>
              </w:rPr>
              <w:t xml:space="preserve"> </w:t>
            </w:r>
            <w:r>
              <w:rPr>
                <w:rFonts w:ascii="仿宋_GB2312" w:hAnsi="仿宋_GB2312" w:cs="仿宋_GB2312" w:eastAsia="仿宋_GB2312"/>
              </w:rPr>
              <w:t>(1) 基层处理，检查找平层质量，修补缺陷， 阴阳角做成圆弧形（R</w:t>
            </w:r>
          </w:p>
          <w:p>
            <w:pPr>
              <w:pStyle w:val="null3"/>
            </w:pPr>
            <w:r>
              <w:rPr>
                <w:rFonts w:ascii="仿宋_GB2312" w:hAnsi="仿宋_GB2312" w:cs="仿宋_GB2312" w:eastAsia="仿宋_GB2312"/>
              </w:rPr>
              <w:t>≥50mm），基层含水率≤9%（用1m²卷材覆盖3-4h后检查无水印）</w:t>
            </w:r>
          </w:p>
          <w:p>
            <w:pPr>
              <w:pStyle w:val="null3"/>
            </w:pPr>
            <w:r>
              <w:rPr>
                <w:rFonts w:ascii="仿宋_GB2312" w:hAnsi="仿宋_GB2312" w:cs="仿宋_GB2312" w:eastAsia="仿宋_GB2312"/>
              </w:rPr>
              <w:t>(2) 刷冷底子油两遍，待处理剂干燥（约4h）后方可铺贴卷材</w:t>
            </w:r>
          </w:p>
          <w:p>
            <w:pPr>
              <w:pStyle w:val="null3"/>
            </w:pPr>
            <w:r>
              <w:rPr>
                <w:rFonts w:ascii="仿宋_GB2312" w:hAnsi="仿宋_GB2312" w:cs="仿宋_GB2312" w:eastAsia="仿宋_GB2312"/>
              </w:rPr>
              <w:t>(3) 铺贴第一层SBS防水卷材</w:t>
            </w:r>
          </w:p>
          <w:p>
            <w:pPr>
              <w:pStyle w:val="null3"/>
            </w:pPr>
            <w:r>
              <w:rPr>
                <w:rFonts w:ascii="仿宋_GB2312" w:hAnsi="仿宋_GB2312" w:cs="仿宋_GB2312" w:eastAsia="仿宋_GB2312"/>
              </w:rPr>
              <w:t>采用热熔法施工，搭接宽度：长边</w:t>
            </w:r>
            <w:r>
              <w:rPr>
                <w:rFonts w:ascii="仿宋_GB2312" w:hAnsi="仿宋_GB2312" w:cs="仿宋_GB2312" w:eastAsia="仿宋_GB2312"/>
              </w:rPr>
              <w:t>≥100mm，短边≥150mm</w:t>
            </w:r>
          </w:p>
          <w:p>
            <w:pPr>
              <w:pStyle w:val="null3"/>
            </w:pPr>
            <w:r>
              <w:rPr>
                <w:rFonts w:ascii="仿宋_GB2312" w:hAnsi="仿宋_GB2312" w:cs="仿宋_GB2312" w:eastAsia="仿宋_GB2312"/>
              </w:rPr>
              <w:t>接缝处溢出热熔改性沥青形成匀质沥青条。</w:t>
            </w:r>
          </w:p>
          <w:p>
            <w:pPr>
              <w:pStyle w:val="null3"/>
            </w:pPr>
            <w:r>
              <w:rPr>
                <w:rFonts w:ascii="仿宋_GB2312" w:hAnsi="仿宋_GB2312" w:cs="仿宋_GB2312" w:eastAsia="仿宋_GB2312"/>
              </w:rPr>
              <w:t>(4) 铺贴第二层SBS防水卷材，在第一层卷材验收合格后施工</w:t>
            </w:r>
          </w:p>
          <w:p>
            <w:pPr>
              <w:pStyle w:val="null3"/>
            </w:pPr>
            <w:r>
              <w:rPr>
                <w:rFonts w:ascii="仿宋_GB2312" w:hAnsi="仿宋_GB2312" w:cs="仿宋_GB2312" w:eastAsia="仿宋_GB2312"/>
              </w:rPr>
              <w:t>，上下层卷材接缝错开</w:t>
            </w:r>
            <w:r>
              <w:rPr>
                <w:rFonts w:ascii="仿宋_GB2312" w:hAnsi="仿宋_GB2312" w:cs="仿宋_GB2312" w:eastAsia="仿宋_GB2312"/>
              </w:rPr>
              <w:t>1/3-1/2幅宽，其他要求同第一层。</w:t>
            </w:r>
          </w:p>
          <w:p>
            <w:pPr>
              <w:pStyle w:val="null3"/>
            </w:pPr>
            <w:r>
              <w:rPr>
                <w:rFonts w:ascii="仿宋_GB2312" w:hAnsi="仿宋_GB2312" w:cs="仿宋_GB2312" w:eastAsia="仿宋_GB2312"/>
              </w:rPr>
              <w:t>(5) 其他处理：</w:t>
            </w:r>
          </w:p>
          <w:p>
            <w:pPr>
              <w:pStyle w:val="null3"/>
            </w:pPr>
            <w:r>
              <w:rPr>
                <w:rFonts w:ascii="仿宋_GB2312" w:hAnsi="仿宋_GB2312" w:cs="仿宋_GB2312" w:eastAsia="仿宋_GB2312"/>
              </w:rPr>
              <w:t>女儿墙：外女儿墙卷材上翻高度</w:t>
            </w:r>
            <w:r>
              <w:rPr>
                <w:rFonts w:ascii="仿宋_GB2312" w:hAnsi="仿宋_GB2312" w:cs="仿宋_GB2312" w:eastAsia="仿宋_GB2312"/>
              </w:rPr>
              <w:t>≥1000mm，收头用20*30木方压条固定，刷沥青漆两遍。</w:t>
            </w:r>
          </w:p>
          <w:p>
            <w:pPr>
              <w:pStyle w:val="null3"/>
            </w:pPr>
            <w:r>
              <w:rPr>
                <w:rFonts w:ascii="仿宋_GB2312" w:hAnsi="仿宋_GB2312" w:cs="仿宋_GB2312" w:eastAsia="仿宋_GB2312"/>
              </w:rPr>
              <w:t>水落口：周边</w:t>
            </w:r>
            <w:r>
              <w:rPr>
                <w:rFonts w:ascii="仿宋_GB2312" w:hAnsi="仿宋_GB2312" w:cs="仿宋_GB2312" w:eastAsia="仿宋_GB2312"/>
              </w:rPr>
              <w:t>500mm范围内坡度≥5%，卷材贴入水落口≥50mm</w:t>
            </w:r>
          </w:p>
          <w:p>
            <w:pPr>
              <w:pStyle w:val="null3"/>
            </w:pPr>
            <w:r>
              <w:rPr>
                <w:rFonts w:ascii="仿宋_GB2312" w:hAnsi="仿宋_GB2312" w:cs="仿宋_GB2312" w:eastAsia="仿宋_GB2312"/>
              </w:rPr>
              <w:t>出屋面管道：做附加层，卷材上翻高度</w:t>
            </w:r>
            <w:r>
              <w:rPr>
                <w:rFonts w:ascii="仿宋_GB2312" w:hAnsi="仿宋_GB2312" w:cs="仿宋_GB2312" w:eastAsia="仿宋_GB2312"/>
              </w:rPr>
              <w:t>≥250mm。</w:t>
            </w:r>
          </w:p>
          <w:p>
            <w:pPr>
              <w:pStyle w:val="null3"/>
              <w:jc w:val="both"/>
            </w:pPr>
            <w:r>
              <w:rPr>
                <w:rFonts w:ascii="仿宋_GB2312" w:hAnsi="仿宋_GB2312" w:cs="仿宋_GB2312" w:eastAsia="仿宋_GB2312"/>
                <w:sz w:val="21"/>
              </w:rPr>
              <w:t>具体内容详见附件图纸及工程量清单要求。</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详见采购内容及要求。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1.供应商如对招标文件有疑问的请将问题加盖公章发至baichenxiangmu@163.com，请同时电话告知采购代理机构，如未告知由此引起的责任供应商自行承担。 2.其他：①为顺利推进政府采购电子化交易平台应用工作，投标人需要在线提交所有通过电子化交易平台实施的政府采购项目的投标文件。②投标截止时间前各供应商需完成线下递交，线下提交响应文件正本 壹份、副本壹份、电子版壹 份（U盘一套，标明供应商名称，随正本密封）。若系统电子响应文件与纸质响应文件不一致的，以系统电子响应文件为准。 递交地址：西安市科技二路启迪清扬时代D座10楼21001室。3.定标环节采购人有权对响应文件承诺响应的内容进行复核，如有虚假响应，一经发现，取消成交资格并上报财政主管部门，列入政府采购黑名单。4、各供应商的磋商报价均不得高于本工程的最高限价，如高于或等于最高限价则视为不影响磋商文件要求。5、付款要求：见合同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2、具有良好的商业信誉和健全的财务会计制度的证明材料（须提供 2023年度或2024年度经第三方审计的财务报告，至少包括三表一注，即资产负债表、利润表、现金流量表及其附注 (成立时间至提交响应文件截止时间不足一年的可提供成立后任意时段的资产负债表) ；或其响应文件递交截止时间前三个月内基本存款账户开户银行出具的资信证明及开户银行许可证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截止至响应文件递交截止时间前六个月内任一个月份的社会保障资金缴存单据或社保机构开具的社会保险参保缴费情况证明，依法不需要缴纳社会保障资金的单位应提供相关证明材料。 4、税收缴纳证明：提供截止至响应文件递交时间前六个月内任一个月份的纳税证明或完税证明，纳税证明或完税证明上应有代收机构或税务机关的公章或业务专用章。依法免税的供应商应提供相关文件证明。 5、提供具有履行本合同所必需的设备和专业技术能力的承诺，提供承诺。 6、无重大违法记录声明：参加政府采购活动前三年内在经营活动中没有重大违法记录的书面声明，提供声明。</w:t>
            </w:r>
          </w:p>
        </w:tc>
        <w:tc>
          <w:tcPr>
            <w:tcW w:type="dxa" w:w="1661"/>
          </w:tcPr>
          <w:p>
            <w:pPr>
              <w:pStyle w:val="null3"/>
            </w:pPr>
            <w:r>
              <w:rPr>
                <w:rFonts w:ascii="仿宋_GB2312" w:hAnsi="仿宋_GB2312" w:cs="仿宋_GB2312" w:eastAsia="仿宋_GB2312"/>
              </w:rPr>
              <w:t>响应文件封面 1、资格证明材料.docx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供应商需在项目电子化交易系统中按要求一一响应，自行完成承诺或说明并进行电子签章。</w:t>
            </w:r>
          </w:p>
        </w:tc>
        <w:tc>
          <w:tcPr>
            <w:tcW w:type="dxa" w:w="1661"/>
          </w:tcPr>
          <w:p>
            <w:pPr>
              <w:pStyle w:val="null3"/>
            </w:pPr>
            <w:r>
              <w:rPr>
                <w:rFonts w:ascii="仿宋_GB2312" w:hAnsi="仿宋_GB2312" w:cs="仿宋_GB2312" w:eastAsia="仿宋_GB2312"/>
              </w:rPr>
              <w:t>1、资格证明材料.docx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参与的供应商全部为符合政策要求的中小企业，依据要求填写。</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供应商具备建筑工程施工总承包三级以上（含三级）资质或建筑装修装饰工程专业承包二级以上（含二级）资质，及有效的安全生产许可证；（不接受批准件）</w:t>
            </w:r>
          </w:p>
        </w:tc>
        <w:tc>
          <w:tcPr>
            <w:tcW w:type="dxa" w:w="1661"/>
          </w:tcPr>
          <w:p>
            <w:pPr>
              <w:pStyle w:val="null3"/>
            </w:pPr>
            <w:r>
              <w:rPr>
                <w:rFonts w:ascii="仿宋_GB2312" w:hAnsi="仿宋_GB2312" w:cs="仿宋_GB2312" w:eastAsia="仿宋_GB2312"/>
              </w:rPr>
              <w:t>1、资格证明材料.docx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项目经理需具备建筑工程专业二级及以上（含二级）注册建造师证书和安全生产考核合格证（B证），且无在建工程项目（提供承诺函）；</w:t>
            </w:r>
          </w:p>
        </w:tc>
        <w:tc>
          <w:tcPr>
            <w:tcW w:type="dxa" w:w="1661"/>
          </w:tcPr>
          <w:p>
            <w:pPr>
              <w:pStyle w:val="null3"/>
            </w:pPr>
            <w:r>
              <w:rPr>
                <w:rFonts w:ascii="仿宋_GB2312" w:hAnsi="仿宋_GB2312" w:cs="仿宋_GB2312" w:eastAsia="仿宋_GB2312"/>
              </w:rPr>
              <w:t>1、资格证明材料.docx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供应商及项目经理信息在“陕西省建筑市场监管与诚信信息发布平台”可查询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供应商及项目经理信息在“陕西省建筑市场监管与诚信信息发布平台”可查询，提供截图；</w:t>
            </w:r>
          </w:p>
        </w:tc>
        <w:tc>
          <w:tcPr>
            <w:tcW w:type="dxa" w:w="1661"/>
          </w:tcPr>
          <w:p>
            <w:pPr>
              <w:pStyle w:val="null3"/>
            </w:pPr>
            <w:r>
              <w:rPr>
                <w:rFonts w:ascii="仿宋_GB2312" w:hAnsi="仿宋_GB2312" w:cs="仿宋_GB2312" w:eastAsia="仿宋_GB2312"/>
              </w:rPr>
              <w:t>1、资格证明材料.docx 2、符合性评审内容.docx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1、资格证明材料.docx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信用中国”网站（www.creditchina.gov.cn）列入失信被执行人或重大税收违法失信主体名单，不得被财政部门在中国政府采购网（www.ccgp.gov.cn）政府采购严重违法失信行为记录名单中禁止参加政府采购活动。可由代理现场查询。</w:t>
            </w:r>
          </w:p>
        </w:tc>
        <w:tc>
          <w:tcPr>
            <w:tcW w:type="dxa" w:w="1661"/>
          </w:tcPr>
          <w:p>
            <w:pPr>
              <w:pStyle w:val="null3"/>
            </w:pPr>
            <w:r>
              <w:rPr>
                <w:rFonts w:ascii="仿宋_GB2312" w:hAnsi="仿宋_GB2312" w:cs="仿宋_GB2312" w:eastAsia="仿宋_GB2312"/>
              </w:rPr>
              <w:t>1、资格证明材料.docx 2、符合性评审内容.docx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供应商应授权合法的人员参加磋商全过程，其中法定代表人直接参加磋商的，须提供法定代表人身份证，并与营业执照上信息一致。法定代表人授权代表参加磋商的，须提供法定代表人授权书及授权代表身份证；</w:t>
            </w:r>
          </w:p>
        </w:tc>
        <w:tc>
          <w:tcPr>
            <w:tcW w:type="dxa" w:w="1661"/>
          </w:tcPr>
          <w:p>
            <w:pPr>
              <w:pStyle w:val="null3"/>
            </w:pPr>
            <w:r>
              <w:rPr>
                <w:rFonts w:ascii="仿宋_GB2312" w:hAnsi="仿宋_GB2312" w:cs="仿宋_GB2312" w:eastAsia="仿宋_GB2312"/>
              </w:rPr>
              <w:t>1、资格证明材料.docx 2、符合性评审内容.docx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供应商进行承诺或说明；</w:t>
            </w:r>
          </w:p>
        </w:tc>
        <w:tc>
          <w:tcPr>
            <w:tcW w:type="dxa" w:w="1661"/>
          </w:tcPr>
          <w:p>
            <w:pPr>
              <w:pStyle w:val="null3"/>
            </w:pPr>
            <w:r>
              <w:rPr>
                <w:rFonts w:ascii="仿宋_GB2312" w:hAnsi="仿宋_GB2312" w:cs="仿宋_GB2312" w:eastAsia="仿宋_GB2312"/>
              </w:rPr>
              <w:t>1、资格证明材料.docx 2、符合性评审内容.docx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其它要求</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1、资格证明材料.docx 响应函 2、符合性评审内容.docx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标的清单 技术服务合同条款及其他商务要求应答表 响应函 监狱企业的证明文件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20日历天</w:t>
            </w:r>
          </w:p>
        </w:tc>
        <w:tc>
          <w:tcPr>
            <w:tcW w:type="dxa" w:w="1661"/>
          </w:tcPr>
          <w:p>
            <w:pPr>
              <w:pStyle w:val="null3"/>
            </w:pPr>
            <w:r>
              <w:rPr>
                <w:rFonts w:ascii="仿宋_GB2312" w:hAnsi="仿宋_GB2312" w:cs="仿宋_GB2312" w:eastAsia="仿宋_GB2312"/>
              </w:rPr>
              <w:t>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五年</w:t>
            </w:r>
          </w:p>
        </w:tc>
        <w:tc>
          <w:tcPr>
            <w:tcW w:type="dxa" w:w="1661"/>
          </w:tcPr>
          <w:p>
            <w:pPr>
              <w:pStyle w:val="null3"/>
            </w:pPr>
            <w:r>
              <w:rPr>
                <w:rFonts w:ascii="仿宋_GB2312" w:hAnsi="仿宋_GB2312" w:cs="仿宋_GB2312" w:eastAsia="仿宋_GB2312"/>
              </w:rPr>
              <w:t>2、符合性评审内容.docx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达到国家现行施工验收规范“合格”标准</w:t>
            </w:r>
          </w:p>
        </w:tc>
        <w:tc>
          <w:tcPr>
            <w:tcW w:type="dxa" w:w="1661"/>
          </w:tcPr>
          <w:p>
            <w:pPr>
              <w:pStyle w:val="null3"/>
            </w:pPr>
            <w:r>
              <w:rPr>
                <w:rFonts w:ascii="仿宋_GB2312" w:hAnsi="仿宋_GB2312" w:cs="仿宋_GB2312" w:eastAsia="仿宋_GB2312"/>
              </w:rPr>
              <w:t>2、符合性评审内容.docx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2、符合性评审内容.docx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2、符合性评审内容.docx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A.实施方案完整详细、有针对性，完全满足项目实施，具有优化建议的得(7-10]分； B.实施方案完整，可行，能满足项目实施的全部要求的得(4-7]分； C.实施方案非专门针对本项目，存在少量逻辑漏洞或前后内容不一致的得(2-4]分；D.实施方案有较大缺陷，或完全套用其他项目且内容较少的得(0-2]分;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5、项目实施方案.docx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针对本项目提供具体的安全作业方案及安全配套措施进行综合评审。 A.提供具体详细、有针对性的安全作业方案及安全配套措施，完全符合采购人安全作业要求且具有优化建议的，得(7-10]分； B.提供安全作业方案及安全配套措施，符合采购人安全作业的要求，得(4-7]分； C.提供的安全作业方案及安全配套措施非专门针对本项目，套用其他项目内容，存在少量逻辑漏洞或前后内容不一致的得(2-4]分； D.提供的安全作业方案及安全配套措施简陋，存在影响采购人安全作业要求实现的，得(0-2]分。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6、安全作业管理.docx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针对本项目提供的文明施工措施计划进行综合评审。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7、文明施工措施计划.docx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8、技术组织措施.docx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拟派项目部人员配备，除拟派项目经理及拟派项目技术负责人以外，至少应包括：施工员3人、资料员1人、材料员1人、安全员1人、质量员1人。 1.满足以上全部要求的得6分，每少一人扣1分，扣完为止；评审依据：提供人员社保、身份证和相应专业证书或注册证书，其中安全员必须提供安全员C证，评审时以供应商提供加盖公章的证书复印件为准，未提供以上资料的相应人员不予认定和赋分。 2.在满足上述基本人员配备的基础上每增加1位专业管理人员的加2分，最多加4分； 评审依据：提供人员社保、身份证和相应专业职称证书或注册证书，其中安全员必须提供安全员C证，评审时以供应商提供加盖公章的证书复印件为准，未提供以上资料的相应人员不予认定和赋分。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9、项目组织管理机构.docx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A.施工机械配备合理并提供设备来源证明材料，证明材料齐全且投入材料环保性优于国家标准的得(7-10]分； B.施工机械配备合理和材料环保性较好，提供了设备来源证明材料的得(4-7]分； C.施工机械配备和材料投入计划基本合理、可行，但未提供其他证明材料的得(2-4]分； D.施工机械配备和材料投入计划较差，影响本项目实施的得(0-2]分；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10、施工机械配备和材料投入计划.docx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11、劳动力安排计划及劳务分包情况表.docx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供应商2022年1月至截标时间前同类施工项目业绩；每提供1份计1分，最高得5分。（提供加盖公章复印件，业绩时间以合同签订时间为准）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本项目专门面向中小企业采购，根据财政部发布《政府采购促进中小企业发展政策问答》的规定，专门面向中小企业采购的项目或者采购包，不再执行价格评审优惠的扶持政策。 2、有效最低报价为基准价得30分。 3、按（磋商基准价/有效最终磋商报价）×30的公式计算报价得分。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13、已标价工程量清单.docx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详见附件：1、资格证明材料.docx</w:t>
      </w:r>
    </w:p>
    <w:p>
      <w:pPr>
        <w:pStyle w:val="null3"/>
        <w:ind w:firstLine="960"/>
      </w:pPr>
      <w:r>
        <w:rPr>
          <w:rFonts w:ascii="仿宋_GB2312" w:hAnsi="仿宋_GB2312" w:cs="仿宋_GB2312" w:eastAsia="仿宋_GB2312"/>
        </w:rPr>
        <w:t>详见附件：2、符合性评审内容.docx</w:t>
      </w:r>
    </w:p>
    <w:p>
      <w:pPr>
        <w:pStyle w:val="null3"/>
        <w:ind w:firstLine="960"/>
      </w:pPr>
      <w:r>
        <w:rPr>
          <w:rFonts w:ascii="仿宋_GB2312" w:hAnsi="仿宋_GB2312" w:cs="仿宋_GB2312" w:eastAsia="仿宋_GB2312"/>
        </w:rPr>
        <w:t>详见附件：5、项目实施方案.docx</w:t>
      </w:r>
    </w:p>
    <w:p>
      <w:pPr>
        <w:pStyle w:val="null3"/>
        <w:ind w:firstLine="960"/>
      </w:pPr>
      <w:r>
        <w:rPr>
          <w:rFonts w:ascii="仿宋_GB2312" w:hAnsi="仿宋_GB2312" w:cs="仿宋_GB2312" w:eastAsia="仿宋_GB2312"/>
        </w:rPr>
        <w:t>详见附件：6、安全作业管理.docx</w:t>
      </w:r>
    </w:p>
    <w:p>
      <w:pPr>
        <w:pStyle w:val="null3"/>
        <w:ind w:firstLine="960"/>
      </w:pPr>
      <w:r>
        <w:rPr>
          <w:rFonts w:ascii="仿宋_GB2312" w:hAnsi="仿宋_GB2312" w:cs="仿宋_GB2312" w:eastAsia="仿宋_GB2312"/>
        </w:rPr>
        <w:t>详见附件：7、文明施工措施计划.docx</w:t>
      </w:r>
    </w:p>
    <w:p>
      <w:pPr>
        <w:pStyle w:val="null3"/>
        <w:ind w:firstLine="960"/>
      </w:pPr>
      <w:r>
        <w:rPr>
          <w:rFonts w:ascii="仿宋_GB2312" w:hAnsi="仿宋_GB2312" w:cs="仿宋_GB2312" w:eastAsia="仿宋_GB2312"/>
        </w:rPr>
        <w:t>详见附件：8、技术组织措施.docx</w:t>
      </w:r>
    </w:p>
    <w:p>
      <w:pPr>
        <w:pStyle w:val="null3"/>
        <w:ind w:firstLine="960"/>
      </w:pPr>
      <w:r>
        <w:rPr>
          <w:rFonts w:ascii="仿宋_GB2312" w:hAnsi="仿宋_GB2312" w:cs="仿宋_GB2312" w:eastAsia="仿宋_GB2312"/>
        </w:rPr>
        <w:t>详见附件：9、项目组织管理机构.docx</w:t>
      </w:r>
    </w:p>
    <w:p>
      <w:pPr>
        <w:pStyle w:val="null3"/>
        <w:ind w:firstLine="960"/>
      </w:pPr>
      <w:r>
        <w:rPr>
          <w:rFonts w:ascii="仿宋_GB2312" w:hAnsi="仿宋_GB2312" w:cs="仿宋_GB2312" w:eastAsia="仿宋_GB2312"/>
        </w:rPr>
        <w:t>详见附件：10、施工机械配备和材料投入计划.docx</w:t>
      </w:r>
    </w:p>
    <w:p>
      <w:pPr>
        <w:pStyle w:val="null3"/>
        <w:ind w:firstLine="960"/>
      </w:pPr>
      <w:r>
        <w:rPr>
          <w:rFonts w:ascii="仿宋_GB2312" w:hAnsi="仿宋_GB2312" w:cs="仿宋_GB2312" w:eastAsia="仿宋_GB2312"/>
        </w:rPr>
        <w:t>详见附件：11、劳动力安排计划及劳务分包情况表.docx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