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版本号：SXDXYZB2025-004-0620250523001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网络与安全维护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SXDXYZB2025-004-06</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网络与安全维护</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SXDXYZB2025-004-06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网络与安全维护</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主要内容是陕西省公路局机关办公计算机及网络、机房维护；网络安全预警监测及防护处置，利用省局现有的态势感知系统和基线核查系统等对陕西省公路局网络环境和陕西省公路局部署的信息系统进行网络安全预警监测服务，提升网络安全预警监测及防护处置能力；网络安全宣传周策划宣传；十楼会议室及六楼腾讯会议室信息化设备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采购包1（陕西省公路局网络与安全维护项目）：属于专门面向中小企业采购。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1、营业执照等主体证明：供应商具有独立承担民事责任能力的法人、其他组织或自然人，并出具合法有效的营业执照或事业单位法人证书等国家规定的相关证明，自然人参与的提供其合法登记证明文件； 响应文件中应提供：上述相关证件资料的复印件或扫描件并加盖供应商公章。</w:t>
      </w:r>
    </w:p>
    <w:p>
      <w:pPr>
        <w:pStyle w:val="null3"/>
      </w:pPr>
      <w:r>
        <w:rPr>
          <w:rFonts w:ascii="仿宋_GB2312" w:hAnsi="仿宋_GB2312" w:cs="仿宋_GB2312" w:eastAsia="仿宋_GB2312"/>
        </w:rPr>
        <w:t>2、提供健全的财务会计制度的证明材料：供应商提供2024年度财务审计报告（至少包括资产负债表、利润表、现金流量表及财务报表附注，成立时间至提交响应文件截止时间不足一年的可提供成立后任意时段的资产负债表）或投标前6个月内其基本存款账户开户银行出具的资信证明及基本存款账户开户证明资料，以上资料复印件或扫描件并加盖供应商公章。</w:t>
      </w:r>
    </w:p>
    <w:p>
      <w:pPr>
        <w:pStyle w:val="null3"/>
      </w:pPr>
      <w:r>
        <w:rPr>
          <w:rFonts w:ascii="仿宋_GB2312" w:hAnsi="仿宋_GB2312" w:cs="仿宋_GB2312" w:eastAsia="仿宋_GB2312"/>
        </w:rPr>
        <w:t>3、税收缴纳证明：提供2024年1月至今已缴纳任意1个月的纳税证明或完税证明，依法免税的单位应提供相关证明材料并加盖供应商公章。</w:t>
      </w:r>
    </w:p>
    <w:p>
      <w:pPr>
        <w:pStyle w:val="null3"/>
      </w:pPr>
      <w:r>
        <w:rPr>
          <w:rFonts w:ascii="仿宋_GB2312" w:hAnsi="仿宋_GB2312" w:cs="仿宋_GB2312" w:eastAsia="仿宋_GB2312"/>
        </w:rPr>
        <w:t>4、社会保障资金缴纳证明：提供2024年1月至今已缴纳任意1个月的社会保障资金缴存单据或社保机构开具的社会保险参保缴费情况证明，依法不需要缴纳社会保障资金的单位应提供相关证明材料并加盖供应商公章。</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p>
      <w:pPr>
        <w:pStyle w:val="null3"/>
      </w:pPr>
      <w:r>
        <w:rPr>
          <w:rFonts w:ascii="仿宋_GB2312" w:hAnsi="仿宋_GB2312" w:cs="仿宋_GB2312" w:eastAsia="仿宋_GB2312"/>
        </w:rPr>
        <w:t>9、不接受联合体相关要求：本项目不接受联合体投标。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开户名称：陕西德欣源项目管理有限公司</w:t>
            </w:r>
          </w:p>
          <w:p>
            <w:pPr>
              <w:pStyle w:val="null3"/>
            </w:pPr>
            <w:r>
              <w:rPr>
                <w:rFonts w:ascii="仿宋_GB2312" w:hAnsi="仿宋_GB2312" w:cs="仿宋_GB2312" w:eastAsia="仿宋_GB2312"/>
              </w:rPr>
              <w:t>开户银行：中国建设银行股份有限公司西安凤城七路支行</w:t>
            </w:r>
          </w:p>
          <w:p>
            <w:pPr>
              <w:pStyle w:val="null3"/>
            </w:pPr>
            <w:r>
              <w:rPr>
                <w:rFonts w:ascii="仿宋_GB2312" w:hAnsi="仿宋_GB2312" w:cs="仿宋_GB2312" w:eastAsia="仿宋_GB2312"/>
              </w:rPr>
              <w:t>银行账号：61050110309109999888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说明：签订合同前，供应商向采购人交付合同金额5%的为履约保证金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代理服务费收费标准：代理服务费按照代理项目（中标）金额的1%计取。款项由中标/成交供应商在领取中标/成交通知书前一次性付清。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服务考核方式为年度考核评估。具体考核内容如下： 1.在本项目执行结束前30日内，乙方将本年度运维记录资料归档并提交甲方进行查验。甲方根据乙方提交的资料内容逐项进行核对，对其中的不足或缺项，乙方必须在限定的期限内进行整改，未按期进行整改的甲方有权按照违约责任条款对乙方处以一定比例的罚款。本项目的服务期限不予顺延。 2.以上罚款全部从乙方缴纳的履约保证金中扣除，不足部分，乙方应予以赔付。 3.由于乙方未尽到合同约定的内容而导致发生重大网络安全事故等严重失职或拒不履行运维服务内容、服务指标无法达标的行为，甲方有权提前解除本合同，扣罚乙方缴纳的全部履约保证金，且乙方应返还已收取的合同价款。 履约验收： 1.甲方确认乙方能够达到合同约定要求后，组织乙方（必要时邀请第三方专家）进行项目验收。乙方提交合同履约情况总结报告，并经甲方确认。验收合格后，填写项目验收单作为对项目的最终认可。 2.验收依据：①本合同及附件文本；②磋商文件、响应文件；③国家相应的标准、规范。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内容是陕西省公路局机关办公计算机及网络、机房维护；网络安全预警监测及防护处置，利用省局现有的态势感知系统和基线核查系统等对陕西省公路局网络环境和陕西省公路局部署的信息系统进行网络安全预警监测服务，提升网络安全预警监测及防护处置能力；网络安全宣传周策划宣传；十楼会议室及六楼腾讯会议室信息化设备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网络与安全维护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标的名称：网络与安全维护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1"/>
            </w:pPr>
            <w:r>
              <w:rPr>
                <w:rFonts w:ascii="仿宋_GB2312" w:hAnsi="仿宋_GB2312" w:cs="仿宋_GB2312" w:eastAsia="仿宋_GB2312"/>
                <w:sz w:val="20"/>
                <w:b/>
              </w:rPr>
              <w:t>一、项目简介</w:t>
            </w:r>
          </w:p>
          <w:p>
            <w:pPr>
              <w:pStyle w:val="null3"/>
              <w:ind w:firstLine="400"/>
            </w:pPr>
            <w:r>
              <w:rPr>
                <w:rFonts w:ascii="仿宋_GB2312" w:hAnsi="仿宋_GB2312" w:cs="仿宋_GB2312" w:eastAsia="仿宋_GB2312"/>
              </w:rPr>
              <w:t>项目主要内容是陕西省公路局机关办公计算机及网络、机房维护；网络安全预警监测及防护处置，利用省局现有的态势感知系统和基线核查系统等对陕西省公路局网络环境和陕西省公路局部署的信息系统进行网络安全预警监测服务，提升网络安全预警监测及防护处置能力；网络安全宣传周策划宣传；十楼会议室及六楼腾讯会议室信息化设备维护。</w:t>
            </w:r>
          </w:p>
          <w:p>
            <w:pPr>
              <w:pStyle w:val="null3"/>
              <w:spacing w:before="255" w:after="255"/>
              <w:jc w:val="both"/>
              <w:outlineLvl w:val="1"/>
            </w:pPr>
            <w:r>
              <w:rPr>
                <w:rFonts w:ascii="仿宋_GB2312" w:hAnsi="仿宋_GB2312" w:cs="仿宋_GB2312" w:eastAsia="仿宋_GB2312"/>
                <w:sz w:val="20"/>
                <w:b/>
              </w:rPr>
              <w:t>二、服务内容</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办公计算机及网络、机房维护</w:t>
            </w:r>
          </w:p>
          <w:p>
            <w:pPr>
              <w:pStyle w:val="null3"/>
              <w:ind w:firstLine="400"/>
              <w:jc w:val="left"/>
            </w:pPr>
            <w:r>
              <w:rPr>
                <w:rFonts w:ascii="仿宋_GB2312" w:hAnsi="仿宋_GB2312" w:cs="仿宋_GB2312" w:eastAsia="仿宋_GB2312"/>
                <w:sz w:val="20"/>
              </w:rPr>
              <w:t>1.负责陕西省公路局办公计算机的巡检、维护及</w:t>
            </w:r>
            <w:r>
              <w:rPr>
                <w:rFonts w:ascii="仿宋_GB2312" w:hAnsi="仿宋_GB2312" w:cs="仿宋_GB2312" w:eastAsia="仿宋_GB2312"/>
                <w:sz w:val="20"/>
              </w:rPr>
              <w:t>故障排除</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2.负责陕西省公路局局域网和交通专网网络线路的巡检、维护及故障排除；</w:t>
            </w:r>
          </w:p>
          <w:p>
            <w:pPr>
              <w:pStyle w:val="null3"/>
              <w:ind w:firstLine="400"/>
              <w:jc w:val="left"/>
            </w:pPr>
            <w:r>
              <w:rPr>
                <w:rFonts w:ascii="仿宋_GB2312" w:hAnsi="仿宋_GB2312" w:cs="仿宋_GB2312" w:eastAsia="仿宋_GB2312"/>
                <w:sz w:val="20"/>
              </w:rPr>
              <w:t>3.负责陕西省公路局网络及安全设备的</w:t>
            </w:r>
            <w:r>
              <w:rPr>
                <w:rFonts w:ascii="仿宋_GB2312" w:hAnsi="仿宋_GB2312" w:cs="仿宋_GB2312" w:eastAsia="仿宋_GB2312"/>
                <w:sz w:val="20"/>
              </w:rPr>
              <w:t>巡检、维护及故障排除</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4.负责陕西省公路局机房动力环境设备的巡检、维护及故障排除。</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网络安全预警监测</w:t>
            </w:r>
            <w:r>
              <w:rPr>
                <w:rFonts w:ascii="仿宋_GB2312" w:hAnsi="仿宋_GB2312" w:cs="仿宋_GB2312" w:eastAsia="仿宋_GB2312"/>
                <w:sz w:val="20"/>
                <w:b/>
              </w:rPr>
              <w:t>及防护处置</w:t>
            </w:r>
          </w:p>
          <w:p>
            <w:pPr>
              <w:pStyle w:val="null3"/>
              <w:ind w:firstLine="400"/>
              <w:jc w:val="both"/>
            </w:pPr>
            <w:r>
              <w:rPr>
                <w:rFonts w:ascii="仿宋_GB2312" w:hAnsi="仿宋_GB2312" w:cs="仿宋_GB2312" w:eastAsia="仿宋_GB2312"/>
                <w:sz w:val="20"/>
              </w:rPr>
              <w:t>1.负责陕西省公路局网络及信息系统的预警监测及防护处置；</w:t>
            </w:r>
          </w:p>
          <w:p>
            <w:pPr>
              <w:pStyle w:val="null3"/>
              <w:ind w:firstLine="400"/>
              <w:jc w:val="both"/>
            </w:pPr>
            <w:r>
              <w:rPr>
                <w:rFonts w:ascii="仿宋_GB2312" w:hAnsi="仿宋_GB2312" w:cs="仿宋_GB2312" w:eastAsia="仿宋_GB2312"/>
                <w:sz w:val="20"/>
              </w:rPr>
              <w:t>2.负责11个</w:t>
            </w:r>
            <w:r>
              <w:rPr>
                <w:rFonts w:ascii="仿宋_GB2312" w:hAnsi="仿宋_GB2312" w:cs="仿宋_GB2312" w:eastAsia="仿宋_GB2312"/>
                <w:sz w:val="20"/>
              </w:rPr>
              <w:t>市级公路管理部门</w:t>
            </w:r>
            <w:r>
              <w:rPr>
                <w:rFonts w:ascii="仿宋_GB2312" w:hAnsi="仿宋_GB2312" w:cs="仿宋_GB2312" w:eastAsia="仿宋_GB2312"/>
                <w:sz w:val="20"/>
              </w:rPr>
              <w:t>陕西省公路局部署信息系统的预警监测及处置建议（其中宝鸡、铜川、渭南、榆林</w:t>
            </w:r>
            <w:r>
              <w:rPr>
                <w:rFonts w:ascii="仿宋_GB2312" w:hAnsi="仿宋_GB2312" w:cs="仿宋_GB2312" w:eastAsia="仿宋_GB2312"/>
                <w:sz w:val="20"/>
              </w:rPr>
              <w:t>4个市级公路管理部门利用原有潜伏威胁探针设备，西安、咸阳、延安、汉中、安康、商洛、韩城7个市级公路管理部门潜伏威胁探针设备在服务期内由服务商提供）；</w:t>
            </w:r>
          </w:p>
          <w:p>
            <w:pPr>
              <w:pStyle w:val="null3"/>
              <w:ind w:firstLine="400"/>
              <w:jc w:val="both"/>
            </w:pPr>
            <w:r>
              <w:rPr>
                <w:rFonts w:ascii="仿宋_GB2312" w:hAnsi="仿宋_GB2312" w:cs="仿宋_GB2312" w:eastAsia="仿宋_GB2312"/>
                <w:sz w:val="20"/>
              </w:rPr>
              <w:t>3.负责编制</w:t>
            </w:r>
            <w:r>
              <w:rPr>
                <w:rFonts w:ascii="仿宋_GB2312" w:hAnsi="仿宋_GB2312" w:cs="仿宋_GB2312" w:eastAsia="仿宋_GB2312"/>
                <w:sz w:val="20"/>
              </w:rPr>
              <w:t>网络安全监测报告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（三）网络安全宣传周策划宣传</w:t>
            </w:r>
          </w:p>
          <w:p>
            <w:pPr>
              <w:pStyle w:val="null3"/>
              <w:ind w:firstLine="400"/>
              <w:jc w:val="both"/>
            </w:pPr>
            <w:r>
              <w:rPr>
                <w:rFonts w:ascii="仿宋_GB2312" w:hAnsi="仿宋_GB2312" w:cs="仿宋_GB2312" w:eastAsia="仿宋_GB2312"/>
                <w:sz w:val="20"/>
              </w:rPr>
              <w:t>1.协助陕西省公路局开展网络安全宣传周活动；</w:t>
            </w:r>
          </w:p>
          <w:p>
            <w:pPr>
              <w:pStyle w:val="null3"/>
              <w:ind w:firstLine="400"/>
              <w:jc w:val="both"/>
            </w:pPr>
            <w:r>
              <w:rPr>
                <w:rFonts w:ascii="仿宋_GB2312" w:hAnsi="仿宋_GB2312" w:cs="仿宋_GB2312" w:eastAsia="仿宋_GB2312"/>
                <w:sz w:val="20"/>
              </w:rPr>
              <w:t>2.负责策划和制作网络安全宣传周宣传展板、宣传册等宣传培训资料；</w:t>
            </w:r>
          </w:p>
          <w:p>
            <w:pPr>
              <w:pStyle w:val="null3"/>
              <w:ind w:firstLine="400"/>
              <w:jc w:val="both"/>
            </w:pPr>
            <w:r>
              <w:rPr>
                <w:rFonts w:ascii="仿宋_GB2312" w:hAnsi="仿宋_GB2312" w:cs="仿宋_GB2312" w:eastAsia="仿宋_GB2312"/>
                <w:sz w:val="20"/>
              </w:rPr>
              <w:t>3.按陕西省公路局要求开展其它网络安全宣传培训工作。</w:t>
            </w:r>
          </w:p>
          <w:p>
            <w:pPr>
              <w:pStyle w:val="null3"/>
              <w:jc w:val="both"/>
            </w:pPr>
            <w:r>
              <w:rPr>
                <w:rFonts w:ascii="仿宋_GB2312" w:hAnsi="仿宋_GB2312" w:cs="仿宋_GB2312" w:eastAsia="仿宋_GB2312"/>
                <w:sz w:val="20"/>
                <w:b/>
              </w:rPr>
              <w:t>（四）十楼会议室及六楼腾讯会议室信息化设备维护</w:t>
            </w:r>
          </w:p>
          <w:p>
            <w:pPr>
              <w:pStyle w:val="null3"/>
              <w:ind w:firstLine="400"/>
              <w:jc w:val="both"/>
            </w:pPr>
            <w:r>
              <w:rPr>
                <w:rFonts w:ascii="仿宋_GB2312" w:hAnsi="仿宋_GB2312" w:cs="仿宋_GB2312" w:eastAsia="仿宋_GB2312"/>
                <w:sz w:val="20"/>
              </w:rPr>
              <w:t>1.负责会议室</w:t>
            </w:r>
            <w:r>
              <w:rPr>
                <w:rFonts w:ascii="仿宋_GB2312" w:hAnsi="仿宋_GB2312" w:cs="仿宋_GB2312" w:eastAsia="仿宋_GB2312"/>
                <w:sz w:val="20"/>
              </w:rPr>
              <w:t>音视频会议系统</w:t>
            </w:r>
            <w:r>
              <w:rPr>
                <w:rFonts w:ascii="仿宋_GB2312" w:hAnsi="仿宋_GB2312" w:cs="仿宋_GB2312" w:eastAsia="仿宋_GB2312"/>
                <w:sz w:val="20"/>
              </w:rPr>
              <w:t>的巡检、维护及故障排除；</w:t>
            </w:r>
          </w:p>
          <w:p>
            <w:pPr>
              <w:pStyle w:val="null3"/>
              <w:ind w:firstLine="400"/>
              <w:jc w:val="both"/>
            </w:pPr>
            <w:r>
              <w:rPr>
                <w:rFonts w:ascii="仿宋_GB2312" w:hAnsi="仿宋_GB2312" w:cs="仿宋_GB2312" w:eastAsia="仿宋_GB2312"/>
                <w:sz w:val="20"/>
              </w:rPr>
              <w:t>2.负责会议室音视频会议系统的会前检查调试、会中技术保障、会后整理工作。</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编制运维工作台账资料</w:t>
            </w:r>
          </w:p>
          <w:p>
            <w:pPr>
              <w:pStyle w:val="null3"/>
              <w:ind w:firstLine="400"/>
              <w:jc w:val="both"/>
            </w:pPr>
            <w:r>
              <w:rPr>
                <w:rFonts w:ascii="仿宋_GB2312" w:hAnsi="仿宋_GB2312" w:cs="仿宋_GB2312" w:eastAsia="仿宋_GB2312"/>
                <w:sz w:val="20"/>
              </w:rPr>
              <w:t>1.负责</w:t>
            </w:r>
            <w:r>
              <w:rPr>
                <w:rFonts w:ascii="仿宋_GB2312" w:hAnsi="仿宋_GB2312" w:cs="仿宋_GB2312" w:eastAsia="仿宋_GB2312"/>
                <w:sz w:val="20"/>
              </w:rPr>
              <w:t>陕西省公路局网络与安全维护运维过程资料的建立、编制、</w:t>
            </w:r>
            <w:r>
              <w:rPr>
                <w:rFonts w:ascii="仿宋_GB2312" w:hAnsi="仿宋_GB2312" w:cs="仿宋_GB2312" w:eastAsia="仿宋_GB2312"/>
                <w:sz w:val="20"/>
              </w:rPr>
              <w:t>更新和归档；</w:t>
            </w:r>
          </w:p>
          <w:p>
            <w:pPr>
              <w:pStyle w:val="null3"/>
              <w:ind w:firstLine="400"/>
              <w:jc w:val="both"/>
            </w:pPr>
            <w:r>
              <w:rPr>
                <w:rFonts w:ascii="仿宋_GB2312" w:hAnsi="仿宋_GB2312" w:cs="仿宋_GB2312" w:eastAsia="仿宋_GB2312"/>
                <w:sz w:val="20"/>
              </w:rPr>
              <w:t>2.定期对运维工作进行总结自评，并按陕西省公路局要求提交网络安全监测报告、运维月报、</w:t>
            </w:r>
            <w:r>
              <w:rPr>
                <w:rFonts w:ascii="仿宋_GB2312" w:hAnsi="仿宋_GB2312" w:cs="仿宋_GB2312" w:eastAsia="仿宋_GB2312"/>
                <w:sz w:val="20"/>
              </w:rPr>
              <w:t>运维工作年度总结报告</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（六）编制网络安全管理白皮书</w:t>
            </w:r>
          </w:p>
          <w:p>
            <w:pPr>
              <w:pStyle w:val="null3"/>
              <w:ind w:firstLine="400"/>
              <w:jc w:val="both"/>
            </w:pPr>
            <w:r>
              <w:rPr>
                <w:rFonts w:ascii="仿宋_GB2312" w:hAnsi="仿宋_GB2312" w:cs="仿宋_GB2312" w:eastAsia="仿宋_GB2312"/>
                <w:sz w:val="20"/>
              </w:rPr>
              <w:t>负责编制陕西省公路局网络安全管理白皮书。</w:t>
            </w:r>
          </w:p>
          <w:p>
            <w:pPr>
              <w:pStyle w:val="null3"/>
              <w:jc w:val="both"/>
            </w:pPr>
            <w:r>
              <w:rPr>
                <w:rFonts w:ascii="仿宋_GB2312" w:hAnsi="仿宋_GB2312" w:cs="仿宋_GB2312" w:eastAsia="仿宋_GB2312"/>
                <w:sz w:val="20"/>
                <w:b/>
              </w:rPr>
              <w:t>（七）编制机房转型和网络安全提升方案</w:t>
            </w:r>
          </w:p>
          <w:p>
            <w:pPr>
              <w:pStyle w:val="null3"/>
              <w:ind w:firstLine="400"/>
              <w:jc w:val="both"/>
            </w:pPr>
            <w:r>
              <w:rPr>
                <w:rFonts w:ascii="仿宋_GB2312" w:hAnsi="仿宋_GB2312" w:cs="仿宋_GB2312" w:eastAsia="仿宋_GB2312"/>
                <w:sz w:val="20"/>
              </w:rPr>
              <w:t>负责编制陕西省公路局机房转型和网络安全提升方案。</w:t>
            </w:r>
          </w:p>
          <w:p>
            <w:pPr>
              <w:pStyle w:val="null3"/>
              <w:spacing w:before="255" w:after="255"/>
              <w:jc w:val="both"/>
              <w:outlineLvl w:val="1"/>
            </w:pPr>
            <w:r>
              <w:rPr>
                <w:rFonts w:ascii="仿宋_GB2312" w:hAnsi="仿宋_GB2312" w:cs="仿宋_GB2312" w:eastAsia="仿宋_GB2312"/>
                <w:sz w:val="20"/>
                <w:b/>
              </w:rPr>
              <w:t>三、服务要求</w:t>
            </w:r>
          </w:p>
          <w:p>
            <w:pPr>
              <w:pStyle w:val="null3"/>
              <w:numPr>
                <w:ilvl w:val="0"/>
                <w:numId w:val="1"/>
              </w:numPr>
              <w:ind w:left="150"/>
            </w:pPr>
            <w:r>
              <w:rPr>
                <w:rFonts w:ascii="仿宋_GB2312" w:hAnsi="仿宋_GB2312" w:cs="仿宋_GB2312" w:eastAsia="仿宋_GB2312"/>
                <w:sz w:val="20"/>
                <w:b/>
              </w:rPr>
              <w:t>运维质量要求</w:t>
            </w:r>
          </w:p>
          <w:p>
            <w:pPr>
              <w:pStyle w:val="null3"/>
              <w:ind w:firstLine="400"/>
              <w:jc w:val="both"/>
            </w:pPr>
            <w:r>
              <w:rPr>
                <w:rFonts w:ascii="仿宋_GB2312" w:hAnsi="仿宋_GB2312" w:cs="仿宋_GB2312" w:eastAsia="仿宋_GB2312"/>
                <w:sz w:val="20"/>
              </w:rPr>
              <w:t>1.运维服务目标：服务商应在服务期内提供稳定可靠的技术支待和服务，通过巡检、预警监测等多种手段保障计算机及网络、机房、信息系统稳定运行，全年软硬件设备故障率≤5%；做好网络安全预警监测及防护处置</w:t>
            </w:r>
            <w:r>
              <w:rPr>
                <w:rFonts w:ascii="仿宋_GB2312" w:hAnsi="仿宋_GB2312" w:cs="仿宋_GB2312" w:eastAsia="仿宋_GB2312"/>
                <w:sz w:val="20"/>
                <w:b/>
              </w:rPr>
              <w:t>、</w:t>
            </w:r>
            <w:r>
              <w:rPr>
                <w:rFonts w:ascii="仿宋_GB2312" w:hAnsi="仿宋_GB2312" w:cs="仿宋_GB2312" w:eastAsia="仿宋_GB2312"/>
                <w:sz w:val="20"/>
              </w:rPr>
              <w:t>网络安全宣传周策划宣传及会议保障等工作；</w:t>
            </w:r>
          </w:p>
          <w:p>
            <w:pPr>
              <w:pStyle w:val="null3"/>
              <w:ind w:firstLine="400"/>
              <w:jc w:val="both"/>
            </w:pPr>
            <w:r>
              <w:rPr>
                <w:rFonts w:ascii="仿宋_GB2312" w:hAnsi="仿宋_GB2312" w:cs="仿宋_GB2312" w:eastAsia="仿宋_GB2312"/>
                <w:sz w:val="20"/>
              </w:rPr>
              <w:t>2.驻场要求：安排2名运维工程师在陕西省公路局驻场</w:t>
            </w:r>
            <w:r>
              <w:rPr>
                <w:rFonts w:ascii="仿宋_GB2312" w:hAnsi="仿宋_GB2312" w:cs="仿宋_GB2312" w:eastAsia="仿宋_GB2312"/>
                <w:sz w:val="20"/>
              </w:rPr>
              <w:t>，</w:t>
            </w:r>
            <w:r>
              <w:rPr>
                <w:rFonts w:ascii="仿宋_GB2312" w:hAnsi="仿宋_GB2312" w:cs="仿宋_GB2312" w:eastAsia="仿宋_GB2312"/>
                <w:sz w:val="20"/>
              </w:rPr>
              <w:t>其中</w:t>
            </w:r>
            <w:r>
              <w:rPr>
                <w:rFonts w:ascii="仿宋_GB2312" w:hAnsi="仿宋_GB2312" w:cs="仿宋_GB2312" w:eastAsia="仿宋_GB2312"/>
                <w:sz w:val="20"/>
              </w:rPr>
              <w:t>1名驻场人员驻场工作时间同陕西省公路局工作时间一致，另1名工作人员每周驻场时间不少于3个工作日；</w:t>
            </w:r>
          </w:p>
          <w:p>
            <w:pPr>
              <w:pStyle w:val="null3"/>
              <w:ind w:firstLine="400"/>
              <w:jc w:val="both"/>
            </w:pPr>
            <w:r>
              <w:rPr>
                <w:rFonts w:ascii="仿宋_GB2312" w:hAnsi="仿宋_GB2312" w:cs="仿宋_GB2312" w:eastAsia="仿宋_GB2312"/>
                <w:sz w:val="20"/>
              </w:rPr>
              <w:t>3.国家重要活动、重要会议及法定节假日等关键时期根据陕西省公路局要求驻场；</w:t>
            </w:r>
          </w:p>
          <w:p>
            <w:pPr>
              <w:pStyle w:val="null3"/>
              <w:ind w:firstLine="400"/>
              <w:jc w:val="both"/>
            </w:pPr>
            <w:r>
              <w:rPr>
                <w:rFonts w:ascii="仿宋_GB2312" w:hAnsi="仿宋_GB2312" w:cs="仿宋_GB2312" w:eastAsia="仿宋_GB2312"/>
                <w:sz w:val="20"/>
              </w:rPr>
              <w:t>4.服务响应：在工作时间内，驻场工程师应在10分钟之内到达故障地点；在工作时间外，服务商应立即响应，并在10分钟内提供电话在线支持服务，同时安排工程师在1小时之内赶到现场提供现场维护服务；</w:t>
            </w:r>
          </w:p>
          <w:p>
            <w:pPr>
              <w:pStyle w:val="null3"/>
              <w:ind w:firstLine="400"/>
              <w:jc w:val="both"/>
            </w:pPr>
            <w:r>
              <w:rPr>
                <w:rFonts w:ascii="仿宋_GB2312" w:hAnsi="仿宋_GB2312" w:cs="仿宋_GB2312" w:eastAsia="仿宋_GB2312"/>
                <w:sz w:val="20"/>
              </w:rPr>
              <w:t>5.故障解决时间：发生故障时，应在2小时内解决故障或恢复系统正常运行；若在2小时内未能解决故障，应请第三方进行处理，费用由服务商承担；</w:t>
            </w:r>
          </w:p>
          <w:p>
            <w:pPr>
              <w:pStyle w:val="null3"/>
              <w:ind w:firstLine="400"/>
              <w:jc w:val="both"/>
            </w:pPr>
            <w:r>
              <w:rPr>
                <w:rFonts w:ascii="仿宋_GB2312" w:hAnsi="仿宋_GB2312" w:cs="仿宋_GB2312" w:eastAsia="仿宋_GB2312"/>
                <w:sz w:val="20"/>
              </w:rPr>
              <w:t>6.故障处理记录：服务商对于故障处理应有详细的报告记录，包含故障原因、响应时间、解决方法等。</w:t>
            </w:r>
          </w:p>
          <w:p>
            <w:pPr>
              <w:pStyle w:val="null3"/>
              <w:jc w:val="both"/>
            </w:pPr>
            <w:r>
              <w:rPr>
                <w:rFonts w:ascii="仿宋_GB2312" w:hAnsi="仿宋_GB2312" w:cs="仿宋_GB2312" w:eastAsia="仿宋_GB2312"/>
                <w:sz w:val="20"/>
                <w:b/>
              </w:rPr>
              <w:t>（二）服务人员能力要求</w:t>
            </w:r>
          </w:p>
          <w:p>
            <w:pPr>
              <w:pStyle w:val="null3"/>
              <w:ind w:firstLine="400"/>
              <w:jc w:val="both"/>
            </w:pPr>
            <w:r>
              <w:rPr>
                <w:rFonts w:ascii="仿宋_GB2312" w:hAnsi="仿宋_GB2312" w:cs="仿宋_GB2312" w:eastAsia="仿宋_GB2312"/>
                <w:sz w:val="20"/>
              </w:rPr>
              <w:t>1.维护主管</w:t>
            </w:r>
            <w:r>
              <w:rPr>
                <w:rFonts w:ascii="仿宋_GB2312" w:hAnsi="仿宋_GB2312" w:cs="仿宋_GB2312" w:eastAsia="仿宋_GB2312"/>
                <w:sz w:val="20"/>
              </w:rPr>
              <w:t>（</w:t>
            </w:r>
            <w:r>
              <w:rPr>
                <w:rFonts w:ascii="仿宋_GB2312" w:hAnsi="仿宋_GB2312" w:cs="仿宋_GB2312" w:eastAsia="仿宋_GB2312"/>
                <w:sz w:val="20"/>
              </w:rPr>
              <w:t>1人）</w:t>
            </w:r>
            <w:r>
              <w:rPr>
                <w:rFonts w:ascii="仿宋_GB2312" w:hAnsi="仿宋_GB2312" w:cs="仿宋_GB2312" w:eastAsia="仿宋_GB2312"/>
                <w:sz w:val="20"/>
              </w:rPr>
              <w:t>：负责维保服务业务及团队管理。要求</w:t>
            </w:r>
            <w:r>
              <w:rPr>
                <w:rFonts w:ascii="仿宋_GB2312" w:hAnsi="仿宋_GB2312" w:cs="仿宋_GB2312" w:eastAsia="仿宋_GB2312"/>
                <w:sz w:val="20"/>
              </w:rPr>
              <w:t>8年以上相关工作经验，精通计算机、服务器、存储、网络设备、安全设备的日常配置及维护，具有良好的协调沟通能力，能处理突发事件；</w:t>
            </w:r>
          </w:p>
          <w:p>
            <w:pPr>
              <w:pStyle w:val="null3"/>
              <w:ind w:firstLine="400"/>
              <w:jc w:val="both"/>
            </w:pPr>
            <w:r>
              <w:rPr>
                <w:rFonts w:ascii="仿宋_GB2312" w:hAnsi="仿宋_GB2312" w:cs="仿宋_GB2312" w:eastAsia="仿宋_GB2312"/>
                <w:sz w:val="20"/>
              </w:rPr>
              <w:t>2.驻场服务人员（2人）：负责日常计算机、网络安全、音视频会议系统设备和信息化运行综合展示系统的运行状态监测、巡检、维护及故障排除。要求3年以上工作经验，有良好的服务意识和沟通能力，驻场人员需要具备较强的信息化等专业知识；</w:t>
            </w:r>
          </w:p>
          <w:p>
            <w:pPr>
              <w:pStyle w:val="null3"/>
              <w:ind w:firstLine="400"/>
              <w:jc w:val="both"/>
            </w:pPr>
            <w:r>
              <w:rPr>
                <w:rFonts w:ascii="仿宋_GB2312" w:hAnsi="仿宋_GB2312" w:cs="仿宋_GB2312" w:eastAsia="仿宋_GB2312"/>
                <w:sz w:val="20"/>
              </w:rPr>
              <w:t>3.资料员（1人）：负责编制运维工作台账资料及</w:t>
            </w:r>
            <w:r>
              <w:rPr>
                <w:rFonts w:ascii="仿宋_GB2312" w:hAnsi="仿宋_GB2312" w:cs="仿宋_GB2312" w:eastAsia="仿宋_GB2312"/>
                <w:sz w:val="20"/>
              </w:rPr>
              <w:t>网络安全监测报告、运维工作月报</w:t>
            </w:r>
            <w:r>
              <w:rPr>
                <w:rFonts w:ascii="仿宋_GB2312" w:hAnsi="仿宋_GB2312" w:cs="仿宋_GB2312" w:eastAsia="仿宋_GB2312"/>
                <w:sz w:val="20"/>
              </w:rPr>
              <w:t>、</w:t>
            </w:r>
            <w:r>
              <w:rPr>
                <w:rFonts w:ascii="仿宋_GB2312" w:hAnsi="仿宋_GB2312" w:cs="仿宋_GB2312" w:eastAsia="仿宋_GB2312"/>
                <w:sz w:val="20"/>
              </w:rPr>
              <w:t>运维工作年度总结报告</w:t>
            </w:r>
            <w:r>
              <w:rPr>
                <w:rFonts w:ascii="仿宋_GB2312" w:hAnsi="仿宋_GB2312" w:cs="仿宋_GB2312" w:eastAsia="仿宋_GB2312"/>
                <w:sz w:val="20"/>
              </w:rPr>
              <w:t>等相关文件等，</w:t>
            </w:r>
            <w:r>
              <w:rPr>
                <w:rFonts w:ascii="仿宋_GB2312" w:hAnsi="仿宋_GB2312" w:cs="仿宋_GB2312" w:eastAsia="仿宋_GB2312"/>
                <w:sz w:val="20"/>
              </w:rPr>
              <w:t>1年以上工作经验，有良好的服务意识和沟通能力，有良好的文档编制能力；</w:t>
            </w:r>
          </w:p>
          <w:p>
            <w:pPr>
              <w:pStyle w:val="null3"/>
              <w:ind w:firstLine="400"/>
              <w:jc w:val="both"/>
            </w:pPr>
            <w:r>
              <w:rPr>
                <w:rFonts w:ascii="仿宋_GB2312" w:hAnsi="仿宋_GB2312" w:cs="仿宋_GB2312" w:eastAsia="仿宋_GB2312"/>
                <w:sz w:val="20"/>
              </w:rPr>
              <w:t>4.服务人员变更：服务期间驻场人员变动不得超过一人次，更换人员要提前两周向陕西省公路局提出书面申请，经陕西省公路局同意后方可更换。</w:t>
            </w:r>
          </w:p>
          <w:p>
            <w:pPr>
              <w:pStyle w:val="null3"/>
              <w:jc w:val="both"/>
            </w:pPr>
            <w:r>
              <w:rPr>
                <w:rFonts w:ascii="仿宋_GB2312" w:hAnsi="仿宋_GB2312" w:cs="仿宋_GB2312" w:eastAsia="仿宋_GB2312"/>
                <w:sz w:val="20"/>
                <w:b/>
              </w:rPr>
              <w:t>（三）资料交付要求</w:t>
            </w:r>
          </w:p>
          <w:p>
            <w:pPr>
              <w:pStyle w:val="null3"/>
              <w:ind w:firstLine="400"/>
              <w:jc w:val="both"/>
            </w:pPr>
            <w:r>
              <w:rPr>
                <w:rFonts w:ascii="仿宋_GB2312" w:hAnsi="仿宋_GB2312" w:cs="仿宋_GB2312" w:eastAsia="仿宋_GB2312"/>
                <w:sz w:val="20"/>
              </w:rPr>
              <w:t>1.时间要求：每月10号之前提交上月度网络安全监测报告、运维月报；运维服务期结束前1周内提交运维工作年度总结报告；在陕西省公路局要求时间内提交网络安全管理白皮书；在陕西省公路局要求时间内提交机房转型和网络安全提升方案；</w:t>
            </w:r>
          </w:p>
          <w:p>
            <w:pPr>
              <w:pStyle w:val="null3"/>
              <w:ind w:firstLine="400"/>
              <w:jc w:val="both"/>
            </w:pPr>
            <w:r>
              <w:rPr>
                <w:rFonts w:ascii="仿宋_GB2312" w:hAnsi="仿宋_GB2312" w:cs="仿宋_GB2312" w:eastAsia="仿宋_GB2312"/>
                <w:sz w:val="20"/>
              </w:rPr>
              <w:t>2.数量要求：网络安全监测报告12套（含11套市级公路管理网络安全监测报告）；运维月报12份；运维工作年度总结报告1份；网络安全管理白皮书1份；</w:t>
            </w:r>
            <w:r>
              <w:rPr>
                <w:rFonts w:ascii="仿宋_GB2312" w:hAnsi="仿宋_GB2312" w:cs="仿宋_GB2312" w:eastAsia="仿宋_GB2312"/>
                <w:sz w:val="20"/>
              </w:rPr>
              <w:t>机房转型和网络安全提升方案</w:t>
            </w:r>
            <w:r>
              <w:rPr>
                <w:rFonts w:ascii="仿宋_GB2312" w:hAnsi="仿宋_GB2312" w:cs="仿宋_GB2312" w:eastAsia="仿宋_GB2312"/>
                <w:sz w:val="20"/>
              </w:rPr>
              <w:t>1份；</w:t>
            </w:r>
          </w:p>
          <w:p>
            <w:pPr>
              <w:pStyle w:val="null3"/>
              <w:ind w:firstLine="400"/>
              <w:jc w:val="both"/>
            </w:pPr>
            <w:r>
              <w:rPr>
                <w:rFonts w:ascii="仿宋_GB2312" w:hAnsi="仿宋_GB2312" w:cs="仿宋_GB2312" w:eastAsia="仿宋_GB2312"/>
                <w:sz w:val="20"/>
              </w:rPr>
              <w:t>3.其它要求：所有交付的资料提交纸质版的同时提交电子版。</w:t>
            </w:r>
          </w:p>
          <w:p>
            <w:pPr>
              <w:pStyle w:val="null3"/>
              <w:jc w:val="both"/>
            </w:pPr>
            <w:r>
              <w:rPr>
                <w:rFonts w:ascii="仿宋_GB2312" w:hAnsi="仿宋_GB2312" w:cs="仿宋_GB2312" w:eastAsia="仿宋_GB2312"/>
                <w:sz w:val="20"/>
                <w:b/>
              </w:rPr>
              <w:t>（四）保密要求</w:t>
            </w:r>
          </w:p>
          <w:p>
            <w:pPr>
              <w:pStyle w:val="null3"/>
              <w:ind w:firstLine="400"/>
              <w:jc w:val="both"/>
            </w:pPr>
            <w:r>
              <w:rPr>
                <w:rFonts w:ascii="仿宋_GB2312" w:hAnsi="仿宋_GB2312" w:cs="仿宋_GB2312" w:eastAsia="仿宋_GB2312"/>
                <w:sz w:val="20"/>
              </w:rPr>
              <w:t>服务商须遵守国家保密有关的法律法规，与陕西省公路局</w:t>
            </w:r>
            <w:r>
              <w:rPr>
                <w:rFonts w:ascii="仿宋_GB2312" w:hAnsi="仿宋_GB2312" w:cs="仿宋_GB2312" w:eastAsia="仿宋_GB2312"/>
                <w:sz w:val="20"/>
              </w:rPr>
              <w:t>签订</w:t>
            </w:r>
            <w:r>
              <w:rPr>
                <w:rFonts w:ascii="仿宋_GB2312" w:hAnsi="仿宋_GB2312" w:cs="仿宋_GB2312" w:eastAsia="仿宋_GB2312"/>
                <w:sz w:val="20"/>
              </w:rPr>
              <w:t>《技术服务保密协议》，未经陕西省公路局书面同意，不得将服务过程中产生的任何信息提供给第三方。服务期结束之日起</w:t>
            </w:r>
            <w:r>
              <w:rPr>
                <w:rFonts w:ascii="仿宋_GB2312" w:hAnsi="仿宋_GB2312" w:cs="仿宋_GB2312" w:eastAsia="仿宋_GB2312"/>
                <w:sz w:val="20"/>
              </w:rPr>
              <w:t>30个工作日内，服务商应删除本项目服务过程中产生的全部信息和数据。</w:t>
            </w:r>
          </w:p>
          <w:p>
            <w:pPr>
              <w:pStyle w:val="null3"/>
              <w:spacing w:before="255" w:after="255"/>
              <w:jc w:val="both"/>
              <w:outlineLvl w:val="1"/>
            </w:pPr>
            <w:r>
              <w:rPr>
                <w:rFonts w:ascii="仿宋_GB2312" w:hAnsi="仿宋_GB2312" w:cs="仿宋_GB2312" w:eastAsia="仿宋_GB2312"/>
                <w:sz w:val="20"/>
                <w:b/>
              </w:rPr>
              <w:t>四、服务期限</w:t>
            </w:r>
          </w:p>
          <w:p>
            <w:pPr>
              <w:pStyle w:val="null3"/>
              <w:ind w:firstLine="400"/>
              <w:jc w:val="both"/>
            </w:pPr>
            <w:r>
              <w:rPr>
                <w:rFonts w:ascii="仿宋_GB2312" w:hAnsi="仿宋_GB2312" w:cs="仿宋_GB2312" w:eastAsia="仿宋_GB2312"/>
                <w:sz w:val="20"/>
              </w:rPr>
              <w:t>自</w:t>
            </w:r>
            <w:r>
              <w:rPr>
                <w:rFonts w:ascii="仿宋_GB2312" w:hAnsi="仿宋_GB2312" w:cs="仿宋_GB2312" w:eastAsia="仿宋_GB2312"/>
                <w:sz w:val="20"/>
              </w:rPr>
              <w:t>2025年12月14日至2026年12月13日止。</w:t>
            </w:r>
          </w:p>
          <w:p>
            <w:pPr>
              <w:pStyle w:val="null3"/>
              <w:spacing w:before="255" w:after="255"/>
              <w:jc w:val="both"/>
              <w:outlineLvl w:val="1"/>
            </w:pPr>
            <w:r>
              <w:rPr>
                <w:rFonts w:ascii="仿宋_GB2312" w:hAnsi="仿宋_GB2312" w:cs="仿宋_GB2312" w:eastAsia="仿宋_GB2312"/>
                <w:sz w:val="20"/>
                <w:b/>
              </w:rPr>
              <w:t>五、服务频次</w:t>
            </w:r>
          </w:p>
          <w:p>
            <w:pPr>
              <w:pStyle w:val="null3"/>
              <w:ind w:firstLine="400"/>
              <w:jc w:val="both"/>
            </w:pPr>
            <w:r>
              <w:rPr>
                <w:rFonts w:ascii="仿宋_GB2312" w:hAnsi="仿宋_GB2312" w:cs="仿宋_GB2312" w:eastAsia="仿宋_GB2312"/>
                <w:sz w:val="20"/>
              </w:rPr>
              <w:t>为及时发现、排除设备故障等网络安全隐患，服务商应实时进行网络安全预警监测，并每周对运维服务对象进行巡检，巡检过程中发现的安全隐患或用户通知的故障问题应立即响应并在规定时间内解决。</w:t>
            </w:r>
          </w:p>
          <w:p>
            <w:pPr>
              <w:pStyle w:val="null3"/>
              <w:jc w:val="both"/>
              <w:outlineLvl w:val="0"/>
            </w:pPr>
            <w:r>
              <w:rPr>
                <w:rFonts w:ascii="仿宋_GB2312" w:hAnsi="仿宋_GB2312" w:cs="仿宋_GB2312" w:eastAsia="仿宋_GB2312"/>
                <w:sz w:val="20"/>
                <w:b/>
              </w:rPr>
              <w:t>附件：陕西省公路局网络与安全维护服务硬件设备清单</w:t>
            </w:r>
          </w:p>
          <w:tbl>
            <w:tblPr>
              <w:tblBorders>
                <w:top w:val="none" w:color="000000" w:sz="4"/>
                <w:left w:val="none" w:color="000000" w:sz="4"/>
                <w:bottom w:val="none" w:color="000000" w:sz="4"/>
                <w:right w:val="none" w:color="000000" w:sz="4"/>
                <w:insideH w:val="none"/>
                <w:insideV w:val="none"/>
              </w:tblBorders>
            </w:tblPr>
            <w:tblGrid>
              <w:gridCol w:w="216"/>
              <w:gridCol w:w="909"/>
              <w:gridCol w:w="647"/>
              <w:gridCol w:w="390"/>
              <w:gridCol w:w="390"/>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设备名称</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w:t>
                  </w:r>
                </w:p>
                <w:p>
                  <w:pPr>
                    <w:pStyle w:val="null3"/>
                    <w:jc w:val="center"/>
                  </w:pPr>
                  <w:r>
                    <w:rPr>
                      <w:rFonts w:ascii="仿宋_GB2312" w:hAnsi="仿宋_GB2312" w:cs="仿宋_GB2312" w:eastAsia="仿宋_GB2312"/>
                      <w:sz w:val="19"/>
                    </w:rPr>
                    <w:t>类型</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一、网络及机房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防火墙</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安全网关</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安全态势感知平台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潜伏威胁</w:t>
                  </w:r>
                  <w:r>
                    <w:rPr>
                      <w:rFonts w:ascii="仿宋_GB2312" w:hAnsi="仿宋_GB2312" w:cs="仿宋_GB2312" w:eastAsia="仿宋_GB2312"/>
                      <w:sz w:val="19"/>
                    </w:rPr>
                    <w:t>探针</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基线核查</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数据库审计</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VPN</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EDR</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堡垒机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日志审计系统</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流量镜像设备</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上网行为管理</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云安全服务平台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路由器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网络设备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交换机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网络设备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光交换机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网络设备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光电转换</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网络设备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存储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动环主机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计算机终端</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MCU</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KVM</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辅助</w:t>
                  </w:r>
                  <w:r>
                    <w:rPr>
                      <w:rFonts w:ascii="仿宋_GB2312" w:hAnsi="仿宋_GB2312" w:cs="仿宋_GB2312" w:eastAsia="仿宋_GB2312"/>
                      <w:sz w:val="19"/>
                    </w:rPr>
                    <w:t>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精密空调</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w:t>
                  </w:r>
                  <w:r>
                    <w:rPr>
                      <w:rFonts w:ascii="仿宋_GB2312" w:hAnsi="仿宋_GB2312" w:cs="仿宋_GB2312" w:eastAsia="仿宋_GB2312"/>
                      <w:sz w:val="19"/>
                    </w:rPr>
                    <w:t>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机房温湿度监测设备</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w:t>
                  </w:r>
                  <w:r>
                    <w:rPr>
                      <w:rFonts w:ascii="仿宋_GB2312" w:hAnsi="仿宋_GB2312" w:cs="仿宋_GB2312" w:eastAsia="仿宋_GB2312"/>
                      <w:sz w:val="19"/>
                    </w:rPr>
                    <w:t>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新风系统</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w:t>
                  </w:r>
                  <w:r>
                    <w:rPr>
                      <w:rFonts w:ascii="仿宋_GB2312" w:hAnsi="仿宋_GB2312" w:cs="仿宋_GB2312" w:eastAsia="仿宋_GB2312"/>
                      <w:sz w:val="19"/>
                    </w:rPr>
                    <w:t>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机房专用灭火装置</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机房烟感感应设备</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UPS电池</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UPS机头</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二、十楼会议室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视频会议终端</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会议摄像机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导播台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数字会议系统主机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会议系统设备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主席单元</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会议系统设备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代表单元</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会议系统设备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真分集无线手持话简</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拾音设备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无线数据扩展器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信号分配系统</w:t>
                  </w:r>
                  <w:r>
                    <w:rPr>
                      <w:rFonts w:ascii="仿宋_GB2312" w:hAnsi="仿宋_GB2312" w:cs="仿宋_GB2312" w:eastAsia="仿宋_GB2312"/>
                      <w:sz w:val="19"/>
                    </w:rPr>
                    <w:t>(含天线)</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调音台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数字音频处理器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反馈抑制器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电源时序器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扬声器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扩声设备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功放</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扩声设备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w:t>
                  </w:r>
                  <w:r>
                    <w:rPr>
                      <w:rFonts w:ascii="仿宋_GB2312" w:hAnsi="仿宋_GB2312" w:cs="仿宋_GB2312" w:eastAsia="仿宋_GB2312"/>
                      <w:sz w:val="19"/>
                    </w:rPr>
                    <w:t>会议中控主机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中控设备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矩阵主机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矩阵</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电源控制器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红外发射棒</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大屏配智能配电柜</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LED小间距大屏</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LED大屏</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18.225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平方米</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大屏控制器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大屏控制</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大屏处理器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大屏控制</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显示器</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辘助显示推车支架</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支架</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摄像机竹节升降架</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支架</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移动三角摄像机支架</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支架</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三、六楼腾讯会议室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9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电视</w:t>
                  </w:r>
                  <w:r>
                    <w:rPr>
                      <w:rFonts w:ascii="仿宋_GB2312" w:hAnsi="仿宋_GB2312" w:cs="仿宋_GB2312" w:eastAsia="仿宋_GB2312"/>
                      <w:sz w:val="19"/>
                    </w:rPr>
                    <w:t>机</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显示器</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投影仪</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视频会议终端</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摄像头</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视频会议设备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电源时序器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视频信号输入输出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中控设备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会议系统设备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无线麦克风</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有线麦克风主机</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有线麦克风</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音频调节器</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9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功放</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扩声设备</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人员配备应齐全、合理，满足项目服务要求。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自2025年12月14日至2026年12月13日止。（具体以合同约定时间为准）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服务考核方式为年度考核评估。具体考核内容如下： 1.在本项目执行结束前30日内，乙方将本年度运维记录资料归档并提交甲方进行查验。甲方根据乙方提交的资料内容逐项进行核对，对其中的不足或缺项，乙方必须在限定的期限内进行整改，未按期进行整改的甲方有权按照违约责任条款对乙方处以一定比例的罚款。本项目的服务期限不予顺延。 2.以上罚款全部从乙方缴纳的履约保证金中扣除，不足部分，乙方应予以赔付。 3.由于乙方未尽到合同约定的内容而导致发生重大网络安全事故等严重失职或拒不履行运维服务内容、服务指标无法达标的行为，甲方有权提前解除本合同，扣罚乙方缴纳的全部履约保证金，且乙方应返还已收取的合同价款。 履约验收： 1.甲方确认乙方能够达到合同约定要求后，组织乙方（必要时邀请第三方专家）进行项目验收。乙方提交合同履约情况总结报告，并经甲方确认。验收合格后，填写项目验收单作为对项目的最终认可。 2.验收依据：①本合同及附件文本；②磋商文件、响应文件；③国家相应的标准、规范。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合同签订后，甲方收到乙方缴纳的履约保证金及开具的等额增值税发票后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2025年12月20日前甲方收到乙方开具的等额增值税发票后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1.乙方不能及时按合同约定履行各项义务或发生其它使合同无法履行的行为，应承担违约责任，按协议条款约定支付违约金，赔偿因其违约给对方造成的损失。 逾期提供服务的，每日应向甲方支付合同额0.5%的违约金，逾期超过90天的，甲方有权解除合同并要求乙方退还已支付的费用，赔偿因其违约给对方造成的损失。 2.乙方交付给甲方的结果与实际不一致或乙方实施工期超过与甲方约定施工工期或乙方提供的服务不达标时，出现以上情况一种或以上，应承担违约责任，按协议条款约定支付违约金，逾期提供服务的，每日应向甲方支付合同额0.5%的违约金，逾期超过90天的，甲方有权解除合同并要求乙方退还已支付的费用，赔偿因其违约给对方造成的损失。 3.乙方因其维护不及时或不当发生以下情况者视同违约： （1）属于电信光纤线路或设备故障造成不能进行Internet联网，乙方未能及时协助甲方督促电信进行故障排查解决的。 （2）属于公路局机关内部线路或设备故障，乙方未能及时维护属乙方责任，排查故障时所需的零配件、线路材料由甲方负责购买。 （3）乙方未能对甲方硬件设备的应用软件、防火墙、交换机、服务器、网管软件、江民网络版杀毒软件，进行定期和不定期的常规升级、安全升级、补丁安装、网络监测、数据备份的。 （4）对重大的影响网络安全、正常使用的网络病毒、木马、黑客入侵没有及时预防和排查的。 （5）乙方对甲方所使用的软硬件系统，在日常的常规维护中，建立故障和事故预警机制，并制定有对应的应急处理预案，但未能执行的。 （6）未达到合同规定的相应维护服务响应时间和服务指标要求的。 4.乙方应保证其提交的服务成果不存在侵犯他人权益情形，否则，因此引发的责任及纠纷由乙方承担，对甲方造成损失的，乙方应予以赔偿，此外，乙方还应向甲方承担合同总价款10%的惩罚性违约金。每发现一次乙方服务不符合甲方要求或合同约定情形的，乙方向甲方承担合同总价款3%的违约金，对甲方造成损失的，乙方还应予以赔偿，发现3次的，甲方有权解除合同并保留追究乙方违约责任的权利。 5.合同因乙方违约导致解除的，乙方除应承担违约责任赔偿甲方损失外，已收的款项应退还甲方；甲方因乙方违约而产生的维权费用，包括但不限于诉讼费、律师费、保全费、鉴定费、评估费、公证费、差旅费等费用，均由乙方承担。 6.乙方应对其服务及服务成果的合法性、科学性、有效性、客观性、真实性负责，否则，相关责任及纠纷由乙方承担，对甲方造成损失的，乙方应予赔偿，此外，乙方还应向甲方承担合同总价款10%的违约金。 （二）合同争议的解决 与本合同有关的或因本合同所产生的一切争执，由甲乙双方友好协商解决，不能解决时向甲方所在地人民法院诉讼解决。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磋商保证金转账时请注明费用信息“SXDXYZB2025-004-06项目保证金”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响应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供应商具有独立承担民事责任能力的法人、其他组织或自然人，并出具合法有效的营业执照或事业单位法人证书等国家规定的相关证明，自然人参与的提供其合法登记证明文件； 响应文件中应提供：上述相关证件资料的复印件或扫描件并加盖供应商公章。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供应商提供2024年度财务审计报告（至少包括资产负债表、利润表、现金流量表及财务报表附注，成立时间至提交响应文件截止时间不足一年的可提供成立后任意时段的资产负债表）或投标前6个月内其基本存款账户开户银行出具的资信证明及基本存款账户开户证明资料，以上资料复印件或扫描件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提供2024年1月至今已缴纳任意1个月的纳税证明或完税证明，依法免税的单位应提供相关证明材料并加盖供应商公章。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提供2024年1月至今已缴纳任意1个月的社会保障资金缴存单据或社保机构开具的社会保险参保缴费情况证明，依法不需要缴纳社会保障资金的单位应提供相关证明材料并加盖供应商公章。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案件当事人名单的供应商，不得为中国政府采购网（www.ccgp.gov.cn）政府采购严重违法失信行为记录名单中被财政部门禁止参加政府采购活动的供应商。（磋商响应文件开启结束后，采购人或代理机构查询供应商在响应文件提交截止时间前的信用记录并保存信用记录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完全响应磋商文件要求的各项技术及服务、商务实质性条款。</w:t>
            </w:r>
          </w:p>
        </w:tc>
        <w:tc>
          <w:tcPr>
            <w:tcW w:type="dxa" w:w="1661"/>
          </w:tcPr>
          <w:p>
            <w:pPr>
              <w:pStyle w:val="null3"/>
            </w:pPr>
            <w:r>
              <w:rPr>
                <w:rFonts w:ascii="仿宋_GB2312" w:hAnsi="仿宋_GB2312" w:cs="仿宋_GB2312" w:eastAsia="仿宋_GB2312"/>
              </w:rPr>
              <w:t>服务内容及服务邀请应答表 商务应答表 服务方案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供应商是否提交磋商保证金交纳凭证银行汇（存）款回执单（复印件须加盖投标人公章）或担保函。</w:t>
            </w:r>
          </w:p>
        </w:tc>
        <w:tc>
          <w:tcPr>
            <w:tcW w:type="dxa" w:w="1661"/>
          </w:tcPr>
          <w:p>
            <w:pPr>
              <w:pStyle w:val="null3"/>
            </w:pPr>
            <w:r>
              <w:rPr>
                <w:rFonts w:ascii="仿宋_GB2312" w:hAnsi="仿宋_GB2312" w:cs="仿宋_GB2312" w:eastAsia="仿宋_GB2312"/>
              </w:rPr>
              <w:t>磋商保证金汇款声明函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服务商针对本项目的整体服务方案，内容包含：①服务目标；②服务实施步骤计划（服务工作流程）；③服务管理规章制度；④工作重点与难点分析及对应措施。 2.评分标准 ①完整性：方案必须全面，对评审内容中的各项要求有详细描述； ②可实施性：切合本项目实际情况，提出切实可行、合理的方案； ③针对性：方案能够紧扣项目实际情况，内容科学合理。 3.赋分标准(满分18分) ①服务目标：每完全满足一个评审标准得1.5分，满分4.5分； ②服务实施步骤计划：每完全满足一个评审标准得1.5分，满分4.5分； ③服务管理规章制度：每完全满足一个评审标准得1.5分，满分4.5分； ④工作重点与难点分析及对应措施：每完全满足一个评审标准得1.5分，满分4.5分。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服务团队组织方案</w:t>
            </w:r>
          </w:p>
        </w:tc>
        <w:tc>
          <w:tcPr>
            <w:tcW w:type="dxa" w:w="2492"/>
          </w:tcPr>
          <w:p>
            <w:pPr>
              <w:pStyle w:val="null3"/>
            </w:pPr>
            <w:r>
              <w:rPr>
                <w:rFonts w:ascii="仿宋_GB2312" w:hAnsi="仿宋_GB2312" w:cs="仿宋_GB2312" w:eastAsia="仿宋_GB2312"/>
              </w:rPr>
              <w:t>1.评审内容 服务商针对本项目的服务团队组织方案，内容包含：①项目实施服务团队组织方案；②岗位工作职责及管理制度；③服务人员考核制度；④服务人员培训、日常教育计划。 2.评分标准 ①完整性：方案必须全面，对评审内容中的各项要求有详细描述； ②可实施性：切合本项目实际情况，提出切实可行、合理的方案； ③针对性：方案能够紧扣项目实际情况，内容科学合理，人员配置符合本项目服务人员要求。 3.赋分标准(满分12分) ①项目实施服务团队组织方案：每完全满足一个评审标准得1分，满分3分； ②岗位工作职责及管理制度：每完全满足一个评审标准得1分，满分3分； ③服务人员考核制度：每完全满足一个评审标准得1分，满分3分； ④服务人员培训、日常教育计划：每完全满足一个评审标准得1分，满分3分。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 服务商针对本项目的服务保障措施，内容包含：①质量保障措施；②安全保障措施；③进度保障措施；④服务人员保障措施。 2.评分标准 ①完整性：保障措施必须全面，对评审内容中的各项要求有详细描述； ②可实施性：切合本项目实际情况，提出切实可行、合理的保障措施； ③针对性：保障措施能够紧扣项目实际情况，内容科学合理。 3.赋分标准(满分12分) ①质量保障措施：每完全满足一个评审标准得1分，满分3分； ②安全保障措施：每完全满足一个评审标准得1分，满分3分； ③进度保障措施：每完全满足一个评审标准得1分，满分3分； ④服务人员保障措施：每完全满足一个评审标准得1分，满分3分。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服务商针对本项目的应急预案，内容包含：①应急预案；②应急人数及人员安排；③应急保障措施。 2.评分标准 ①完整性：方案必须全面，对评审内容中的各项要求有详细描述； ②可实施性：切合本项目实际情况，提出切实可行、合理的方案； ③针对性：方案能够紧扣项目实际情况，内容科学合理。 3.赋分标准(满分4.5分) ①应急预案：每完全满足一个评审标准得0.5分，满分1.5分； ②应急人数及人员安排：每完全满足一个评审标准得0.5分，满分1.5分； ③应急保障措施：每完全满足一个评审标准得0.5分，满分1.5分。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1.评审内容 服务商针对本项目的保密方案，内容包含：①保密管理制度；②数据和信息安全保密措施；③保密承诺。 2.评分标准 ①完整性：方案必须全面，对评审内容中的各项要求有详细描述； ②可实施性：切合本项目实际情况，提出切实可行、合理的方案； ③针对性：方案能够紧扣项目实际情况，内容科学合理。 3.赋分标准(满分4.5分) ①保密管理制度：每完全满足一个评审标准得0.5分，满分1.5分； ②数据和信息安全保密措施：每完全满足一个评审标准得0.5分，满分1.5分； ③保密承诺：每完全满足一个评审标准得0.5分，满分1.5分。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企业履约能力</w:t>
            </w:r>
          </w:p>
        </w:tc>
        <w:tc>
          <w:tcPr>
            <w:tcW w:type="dxa" w:w="2492"/>
          </w:tcPr>
          <w:p>
            <w:pPr>
              <w:pStyle w:val="null3"/>
            </w:pPr>
            <w:r>
              <w:rPr>
                <w:rFonts w:ascii="仿宋_GB2312" w:hAnsi="仿宋_GB2312" w:cs="仿宋_GB2312" w:eastAsia="仿宋_GB2312"/>
              </w:rPr>
              <w:t>服务商提供ISO 9001认证证书得3分，未提供不得分。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服务人员履约能力</w:t>
            </w:r>
          </w:p>
        </w:tc>
        <w:tc>
          <w:tcPr>
            <w:tcW w:type="dxa" w:w="2492"/>
          </w:tcPr>
          <w:p>
            <w:pPr>
              <w:pStyle w:val="null3"/>
            </w:pPr>
            <w:r>
              <w:rPr>
                <w:rFonts w:ascii="仿宋_GB2312" w:hAnsi="仿宋_GB2312" w:cs="仿宋_GB2312" w:eastAsia="仿宋_GB2312"/>
              </w:rPr>
              <w:t>1.项目经理（维护主管）具有信息化服务项目管理能力，提供网络技术、信息安全、IT服务等信息化相关行业认证证书，每提供一个证书得2分，最高得4分； 2.驻场运维人员具有信息化服务项目服务能力，提供网络技术、信息安全、IT服务等信息化相关行业认证证书，每名驻场运维人员每提供一个证书得2分，最高得8分（每人最多得4分）； 3.服务商每增加一名具有网络技术、信息安全、IT服务等信息化相关行业认证证书（需提供以上任意一个认证证书）的应急服务人员得2分，最高得4分。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服务商需提供2022年1月1日以来独立承担过类似项目业绩，每个业绩计1.5分，最高计15分。 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2.满足磋商文件实质性要求且最后报价最低的供应商的价格为磋商基准价，其价格分为满分15分。 3.磋商报价得分=(磋商基准价/最终磋商报价）×15的公式计算得分 。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