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版本号：SZT2025-SN-SC-ZC-HW-041720250523001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三重四级杆串联质谱仪采购项目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SZT2025-SN-SC-ZC-HW-0417</w:t>
      </w:r>
      <w:r>
        <w:br/>
      </w:r>
      <w:r>
        <w:br/>
      </w:r>
      <w:r>
        <w:br/>
      </w:r>
    </w:p>
    <w:p>
      <w:pPr>
        <w:pStyle w:val="null3"/>
        <w:jc w:val="center"/>
        <w:outlineLvl w:val="2"/>
      </w:pPr>
      <w:r>
        <w:rPr>
          <w:rFonts w:ascii="仿宋_GB2312" w:hAnsi="仿宋_GB2312" w:cs="仿宋_GB2312" w:eastAsia="仿宋_GB2312"/>
          <w:sz w:val="28"/>
          <w:b/>
        </w:rPr>
        <w:t>西安建筑科技大学</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西安建筑科技大学</w:t>
      </w:r>
      <w:r>
        <w:rPr>
          <w:rFonts w:ascii="仿宋_GB2312" w:hAnsi="仿宋_GB2312" w:cs="仿宋_GB2312" w:eastAsia="仿宋_GB2312"/>
        </w:rPr>
        <w:t>委托，拟对</w:t>
      </w:r>
      <w:r>
        <w:rPr>
          <w:rFonts w:ascii="仿宋_GB2312" w:hAnsi="仿宋_GB2312" w:cs="仿宋_GB2312" w:eastAsia="仿宋_GB2312"/>
        </w:rPr>
        <w:t>三重四级杆串联质谱仪采购项目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SZT2025-SN-SC-ZC-HW-0417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三重四级杆串联质谱仪采购项目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西安建筑科技大学三重四极杆串联质谱仪采购项目，包括液相色谱系统（具备梯度洗脱功能，流速范围满足分析需求）、三重四极杆质谱仪（具备多反应监测（MRM）等多种扫描模式）、电喷雾离子源和大气压化学离子源等核心部件。可满足高灵敏度检测，满足学校环境科学研究中对极微量污染物检测的需求，为环境监测与治理提供精确数据。高选择性分析，可准确识别材料中多种添加剂、杂质成分，实现对目标化合物的精准定性定量分析，提高材料研发与质量控制的准确性。快速分析能力，满足高通量检测需求。宽动态范围，能够对不同浓度水平的样品进行准确检测，减少样品稀释、浓缩等前处理步骤，提高分析的便捷性和准确性。具体内容详见谈判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1、法定代表人授权委托书：法定代表人授权书及被授权人身份证明。（法定代表人直接谈判只须提供其身份证明）</w:t>
      </w:r>
    </w:p>
    <w:p>
      <w:pPr>
        <w:pStyle w:val="null3"/>
      </w:pPr>
      <w:r>
        <w:rPr>
          <w:rFonts w:ascii="仿宋_GB2312" w:hAnsi="仿宋_GB2312" w:cs="仿宋_GB2312" w:eastAsia="仿宋_GB2312"/>
        </w:rPr>
        <w:t>2、所投进口产品的完整授权链证明材料：所投产品如为进口产品，提供所投进口产品的完整授权链证明材料。</w:t>
      </w:r>
    </w:p>
    <w:p>
      <w:pPr>
        <w:pStyle w:val="null3"/>
      </w:pPr>
      <w:r>
        <w:rPr>
          <w:rFonts w:ascii="仿宋_GB2312" w:hAnsi="仿宋_GB2312" w:cs="仿宋_GB2312" w:eastAsia="仿宋_GB2312"/>
        </w:rPr>
        <w:t>3、联合体：本项目不接受联合体谈判。</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西安建筑科技大学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西安市雁塔路中段13号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闫老师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029-82201427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西安市高新区高新四路1号高科广场A1001室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张志翰、马帅、李娜、单博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029-88364979-873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采购包1保证金金额：44,000.00元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开户名称：陕西中技招标有限公司</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银行账号：129916812810001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说明：供应商成交后凭成交通知书向学校缴纳成交金额的5%作为履约保证金，待合同履约完毕后无息退还。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代理服务费收费标准：中标人应依据中标金额向采购代理机构交纳中标服务费，交费金额以国家计委颁布的《招标代理服务收费管理暂行办法》(计价格[2002]1980号)文件为依据计代理服务费，按照以下要求计： 1、100万元(不含)以下的项目，按照文件标准计费收取； 2、100万元(含)以上的项目，按照文件标准上限75%计费。3、本项目代理服务费按货物计取。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西安建筑科技大学</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西安建筑科技大学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西安建筑科技大学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陕西中技招标有限公司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按谈判文件、谈判响应文件和合同文本要求</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联系电话：029-88364979-856</w:t>
      </w:r>
    </w:p>
    <w:p>
      <w:pPr>
        <w:pStyle w:val="null3"/>
      </w:pPr>
      <w:r>
        <w:rPr>
          <w:rFonts w:ascii="仿宋_GB2312" w:hAnsi="仿宋_GB2312" w:cs="仿宋_GB2312" w:eastAsia="仿宋_GB2312"/>
        </w:rPr>
        <w:t>地址：西安市高新区高新四路1号高科广场A座1001室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建筑科技大学三重四极杆串联质谱仪采购项目，包括液相色谱系统（具备梯度洗脱功能，流速范围满足分析需求）、三重四极杆质谱仪（具备多反应监测（MRM）等多种扫描模式）、电喷雾离子源和大气压化学离子源等核心部件。可满足高灵敏度检测，满足学校环境科学研究中对极微量污染物检测的需求，为环境监测与治理提供精确数据。高选择性分析，可准确识别材料中多种添加剂、杂质成分，实现对目标化合物的精准定性定量分析，提高材料研发与质量控制的准确性。快速分析能力，满足高通量检测需求。宽动态范围，能够对不同浓度水平的样品进行准确检测，减少样品稀释、浓缩等前处理步骤，提高分析的便捷性和准确性。</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2,200,000.00</w:t>
      </w:r>
    </w:p>
    <w:p>
      <w:pPr>
        <w:pStyle w:val="null3"/>
      </w:pPr>
      <w:r>
        <w:rPr>
          <w:rFonts w:ascii="仿宋_GB2312" w:hAnsi="仿宋_GB2312" w:cs="仿宋_GB2312" w:eastAsia="仿宋_GB2312"/>
        </w:rPr>
        <w:t>采购包最高限价（元）: 2,100,000.00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超高效液相色谱-三重四级杆串联质谱仪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标的名称：超高效液相色谱-三重四级杆串联质谱仪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851"/>
              <w:gridCol w:w="851"/>
              <w:gridCol w:w="851"/>
            </w:tblGrid>
            <w:tr>
              <w:tc>
                <w:tcPr>
                  <w:tcW w:type="dxa" w:w="851"/>
                </w:tcPr>
                <w:p>
                  <w:pPr>
                    <w:pStyle w:val="null3"/>
                  </w:pPr>
                  <w:r>
                    <w:rPr>
                      <w:rFonts w:ascii="仿宋_GB2312" w:hAnsi="仿宋_GB2312" w:cs="仿宋_GB2312" w:eastAsia="仿宋_GB2312"/>
                      <w:sz w:val="19"/>
                    </w:rPr>
                    <w:t>产品名称</w:t>
                  </w:r>
                </w:p>
              </w:tc>
              <w:tc>
                <w:tcPr>
                  <w:tcW w:type="dxa" w:w="851"/>
                </w:tcPr>
                <w:p>
                  <w:pPr>
                    <w:pStyle w:val="null3"/>
                  </w:pPr>
                  <w:r>
                    <w:rPr>
                      <w:rFonts w:ascii="仿宋_GB2312" w:hAnsi="仿宋_GB2312" w:cs="仿宋_GB2312" w:eastAsia="仿宋_GB2312"/>
                      <w:sz w:val="19"/>
                    </w:rPr>
                    <w:t>技术标准</w:t>
                  </w:r>
                </w:p>
              </w:tc>
              <w:tc>
                <w:tcPr>
                  <w:tcW w:type="dxa" w:w="851"/>
                </w:tcPr>
                <w:p>
                  <w:pPr>
                    <w:pStyle w:val="null3"/>
                  </w:pPr>
                  <w:r>
                    <w:rPr>
                      <w:rFonts w:ascii="仿宋_GB2312" w:hAnsi="仿宋_GB2312" w:cs="仿宋_GB2312" w:eastAsia="仿宋_GB2312"/>
                      <w:sz w:val="19"/>
                    </w:rPr>
                    <w:t>配置要求</w:t>
                  </w:r>
                </w:p>
              </w:tc>
            </w:tr>
            <w:tr>
              <w:tc>
                <w:tcPr>
                  <w:tcW w:type="dxa" w:w="851"/>
                </w:tcPr>
                <w:p>
                  <w:pPr>
                    <w:pStyle w:val="null3"/>
                  </w:pPr>
                  <w:r>
                    <w:rPr>
                      <w:rFonts w:ascii="仿宋_GB2312" w:hAnsi="仿宋_GB2312" w:cs="仿宋_GB2312" w:eastAsia="仿宋_GB2312"/>
                      <w:sz w:val="19"/>
                    </w:rPr>
                    <w:t>超高效液相色谱-三重四级杆串联质谱仪</w:t>
                  </w:r>
                </w:p>
              </w:tc>
              <w:tc>
                <w:tcPr>
                  <w:tcW w:type="dxa" w:w="851"/>
                </w:tcPr>
                <w:p>
                  <w:pPr>
                    <w:pStyle w:val="null3"/>
                  </w:pPr>
                  <w:r>
                    <w:rPr>
                      <w:rFonts w:ascii="仿宋_GB2312" w:hAnsi="仿宋_GB2312" w:cs="仿宋_GB2312" w:eastAsia="仿宋_GB2312"/>
                      <w:sz w:val="19"/>
                    </w:rPr>
                    <w:t>1.液相色谱部分：</w:t>
                  </w:r>
                </w:p>
                <w:p>
                  <w:pPr>
                    <w:pStyle w:val="null3"/>
                  </w:pPr>
                  <w:r>
                    <w:rPr>
                      <w:rFonts w:ascii="仿宋_GB2312" w:hAnsi="仿宋_GB2312" w:cs="仿宋_GB2312" w:eastAsia="仿宋_GB2312"/>
                      <w:sz w:val="19"/>
                    </w:rPr>
                    <w:t>1.1 液相色谱为生物兼容液相色谱仪，与质谱部分必须为同一厂家产品，且可通过同一软件平台实现对液相色谱和质谱的控制。（需提供证明文件）。</w:t>
                  </w:r>
                </w:p>
                <w:p>
                  <w:pPr>
                    <w:pStyle w:val="null3"/>
                  </w:pPr>
                  <w:r>
                    <w:rPr>
                      <w:rFonts w:ascii="仿宋_GB2312" w:hAnsi="仿宋_GB2312" w:cs="仿宋_GB2312" w:eastAsia="仿宋_GB2312"/>
                      <w:sz w:val="19"/>
                    </w:rPr>
                    <w:t>1.2二元泵</w:t>
                  </w:r>
                </w:p>
                <w:p>
                  <w:pPr>
                    <w:pStyle w:val="null3"/>
                  </w:pPr>
                  <w:r>
                    <w:rPr>
                      <w:rFonts w:ascii="仿宋_GB2312" w:hAnsi="仿宋_GB2312" w:cs="仿宋_GB2312" w:eastAsia="仿宋_GB2312"/>
                      <w:sz w:val="19"/>
                    </w:rPr>
                    <w:t>1.2.1流量范围涵盖：（0.001-8.000） mL/min，步进0.001 mL/min；</w:t>
                  </w:r>
                </w:p>
                <w:p>
                  <w:pPr>
                    <w:pStyle w:val="null3"/>
                  </w:pPr>
                  <w:r>
                    <w:rPr>
                      <w:rFonts w:ascii="仿宋_GB2312" w:hAnsi="仿宋_GB2312" w:cs="仿宋_GB2312" w:eastAsia="仿宋_GB2312"/>
                      <w:sz w:val="19"/>
                    </w:rPr>
                    <w:t>1.2.2 最大压力：≥15000 psi（需提供证明文件）；</w:t>
                  </w:r>
                </w:p>
                <w:p>
                  <w:pPr>
                    <w:pStyle w:val="null3"/>
                  </w:pPr>
                  <w:r>
                    <w:rPr>
                      <w:rFonts w:ascii="仿宋_GB2312" w:hAnsi="仿宋_GB2312" w:cs="仿宋_GB2312" w:eastAsia="仿宋_GB2312"/>
                      <w:sz w:val="19"/>
                    </w:rPr>
                    <w:t>1.3自动进样器：</w:t>
                  </w:r>
                </w:p>
                <w:p>
                  <w:pPr>
                    <w:pStyle w:val="null3"/>
                  </w:pPr>
                  <w:r>
                    <w:rPr>
                      <w:rFonts w:ascii="仿宋_GB2312" w:hAnsi="仿宋_GB2312" w:cs="仿宋_GB2312" w:eastAsia="仿宋_GB2312"/>
                      <w:sz w:val="19"/>
                    </w:rPr>
                    <w:t>1.3.1 样品瓶位：≥200位（1.5 mL样品瓶）（需提供证明文件）；</w:t>
                  </w:r>
                </w:p>
                <w:p>
                  <w:pPr>
                    <w:pStyle w:val="null3"/>
                  </w:pPr>
                  <w:r>
                    <w:rPr>
                      <w:rFonts w:ascii="仿宋_GB2312" w:hAnsi="仿宋_GB2312" w:cs="仿宋_GB2312" w:eastAsia="仿宋_GB2312"/>
                      <w:sz w:val="19"/>
                    </w:rPr>
                    <w:t>1.3.2 交叉污染：≤0.0004% ；</w:t>
                  </w:r>
                </w:p>
                <w:p>
                  <w:pPr>
                    <w:pStyle w:val="null3"/>
                  </w:pPr>
                  <w:r>
                    <w:rPr>
                      <w:rFonts w:ascii="仿宋_GB2312" w:hAnsi="仿宋_GB2312" w:cs="仿宋_GB2312" w:eastAsia="仿宋_GB2312"/>
                      <w:sz w:val="19"/>
                    </w:rPr>
                    <w:t>1.4柱温箱：</w:t>
                  </w:r>
                </w:p>
                <w:p>
                  <w:pPr>
                    <w:pStyle w:val="null3"/>
                  </w:pPr>
                  <w:r>
                    <w:rPr>
                      <w:rFonts w:ascii="仿宋_GB2312" w:hAnsi="仿宋_GB2312" w:cs="仿宋_GB2312" w:eastAsia="仿宋_GB2312"/>
                      <w:sz w:val="19"/>
                    </w:rPr>
                    <w:t>1.4.1 温控范围涵盖：（5-120）℃（需提供证明文件）；</w:t>
                  </w:r>
                </w:p>
                <w:p>
                  <w:pPr>
                    <w:pStyle w:val="null3"/>
                  </w:pPr>
                  <w:r>
                    <w:rPr>
                      <w:rFonts w:ascii="仿宋_GB2312" w:hAnsi="仿宋_GB2312" w:cs="仿宋_GB2312" w:eastAsia="仿宋_GB2312"/>
                      <w:sz w:val="19"/>
                    </w:rPr>
                    <w:t>1.4.2 温度准确度：≤±0.5℃；</w:t>
                  </w:r>
                </w:p>
                <w:p>
                  <w:pPr>
                    <w:pStyle w:val="null3"/>
                  </w:pPr>
                  <w:r>
                    <w:rPr>
                      <w:rFonts w:ascii="仿宋_GB2312" w:hAnsi="仿宋_GB2312" w:cs="仿宋_GB2312" w:eastAsia="仿宋_GB2312"/>
                      <w:sz w:val="19"/>
                    </w:rPr>
                    <w:t>1.5 二极管阵列检测器</w:t>
                  </w:r>
                </w:p>
                <w:p>
                  <w:pPr>
                    <w:pStyle w:val="null3"/>
                  </w:pPr>
                  <w:r>
                    <w:rPr>
                      <w:rFonts w:ascii="仿宋_GB2312" w:hAnsi="仿宋_GB2312" w:cs="仿宋_GB2312" w:eastAsia="仿宋_GB2312"/>
                      <w:sz w:val="19"/>
                    </w:rPr>
                    <w:t>1.5.1 波长范围涵盖：（190-800 ）nm；</w:t>
                  </w:r>
                </w:p>
                <w:p>
                  <w:pPr>
                    <w:pStyle w:val="null3"/>
                  </w:pPr>
                  <w:r>
                    <w:rPr>
                      <w:rFonts w:ascii="仿宋_GB2312" w:hAnsi="仿宋_GB2312" w:cs="仿宋_GB2312" w:eastAsia="仿宋_GB2312"/>
                      <w:sz w:val="19"/>
                    </w:rPr>
                    <w:t>1.5.2 最大数据采集频率：≥250Hz。</w:t>
                  </w:r>
                </w:p>
                <w:p>
                  <w:pPr>
                    <w:pStyle w:val="null3"/>
                  </w:pPr>
                  <w:r>
                    <w:rPr>
                      <w:rFonts w:ascii="仿宋_GB2312" w:hAnsi="仿宋_GB2312" w:cs="仿宋_GB2312" w:eastAsia="仿宋_GB2312"/>
                      <w:sz w:val="19"/>
                    </w:rPr>
                    <w:t>2. 质谱部分：</w:t>
                  </w:r>
                </w:p>
                <w:p>
                  <w:pPr>
                    <w:pStyle w:val="null3"/>
                  </w:pPr>
                  <w:r>
                    <w:rPr>
                      <w:rFonts w:ascii="仿宋_GB2312" w:hAnsi="仿宋_GB2312" w:cs="仿宋_GB2312" w:eastAsia="仿宋_GB2312"/>
                      <w:sz w:val="19"/>
                    </w:rPr>
                    <w:t>2.1 离子源</w:t>
                  </w:r>
                </w:p>
                <w:p>
                  <w:pPr>
                    <w:pStyle w:val="null3"/>
                  </w:pPr>
                  <w:r>
                    <w:rPr>
                      <w:rFonts w:ascii="仿宋_GB2312" w:hAnsi="仿宋_GB2312" w:cs="仿宋_GB2312" w:eastAsia="仿宋_GB2312"/>
                      <w:sz w:val="19"/>
                    </w:rPr>
                    <w:t>2.1.1 离子源：独立的可加热电喷雾离子源（HESI源）和大气压化学电离源（APCI源），最高加热温度≥550℃，HESI与APCI切换只需更换源探针组件，且整个过程无需拆卸离子源；（需提供证明文件）；</w:t>
                  </w:r>
                </w:p>
                <w:p>
                  <w:pPr>
                    <w:pStyle w:val="null3"/>
                  </w:pPr>
                  <w:r>
                    <w:rPr>
                      <w:rFonts w:ascii="仿宋_GB2312" w:hAnsi="仿宋_GB2312" w:cs="仿宋_GB2312" w:eastAsia="仿宋_GB2312"/>
                      <w:sz w:val="19"/>
                    </w:rPr>
                    <w:t>2.2 离子传输系统</w:t>
                  </w:r>
                </w:p>
                <w:p>
                  <w:pPr>
                    <w:pStyle w:val="null3"/>
                  </w:pPr>
                  <w:r>
                    <w:rPr>
                      <w:rFonts w:ascii="仿宋_GB2312" w:hAnsi="仿宋_GB2312" w:cs="仿宋_GB2312" w:eastAsia="仿宋_GB2312"/>
                      <w:sz w:val="19"/>
                    </w:rPr>
                    <w:t>2.2.1 离子传输系统为金属离子传输管设计，可独立加热，最高温度≥400℃，离子传输管在清洗维护时质谱系统不用卸真空。（需提供证明文件）；</w:t>
                  </w:r>
                </w:p>
                <w:p>
                  <w:pPr>
                    <w:pStyle w:val="null3"/>
                  </w:pPr>
                  <w:r>
                    <w:rPr>
                      <w:rFonts w:ascii="仿宋_GB2312" w:hAnsi="仿宋_GB2312" w:cs="仿宋_GB2312" w:eastAsia="仿宋_GB2312"/>
                      <w:sz w:val="19"/>
                    </w:rPr>
                    <w:t>2.2.2 离子传输透镜系统：采用堆叠式环形离子导向器；</w:t>
                  </w:r>
                </w:p>
                <w:p>
                  <w:pPr>
                    <w:pStyle w:val="null3"/>
                  </w:pPr>
                  <w:r>
                    <w:rPr>
                      <w:rFonts w:ascii="仿宋_GB2312" w:hAnsi="仿宋_GB2312" w:cs="仿宋_GB2312" w:eastAsia="仿宋_GB2312"/>
                      <w:sz w:val="19"/>
                    </w:rPr>
                    <w:t>2.3 四极杆质量分析器</w:t>
                  </w:r>
                </w:p>
                <w:p>
                  <w:pPr>
                    <w:pStyle w:val="null3"/>
                  </w:pPr>
                  <w:r>
                    <w:rPr>
                      <w:rFonts w:ascii="仿宋_GB2312" w:hAnsi="仿宋_GB2312" w:cs="仿宋_GB2312" w:eastAsia="仿宋_GB2312"/>
                      <w:sz w:val="19"/>
                    </w:rPr>
                    <w:t>2.3.1 Q1和Q3四极杆：采用钼制双曲面四极杆，在全质量范围，分辨率≤0.4 amu，具备至少4档分辨率可调（需提供证明文件）；</w:t>
                  </w:r>
                </w:p>
                <w:p>
                  <w:pPr>
                    <w:pStyle w:val="null3"/>
                  </w:pPr>
                  <w:r>
                    <w:rPr>
                      <w:rFonts w:ascii="仿宋_GB2312" w:hAnsi="仿宋_GB2312" w:cs="仿宋_GB2312" w:eastAsia="仿宋_GB2312"/>
                      <w:sz w:val="19"/>
                    </w:rPr>
                    <w:t>2.3.2 Q2设计：90º或180°弯曲，加有轴向加速电场的主动碰撞反应池设计。（需提供证明文件）；</w:t>
                  </w:r>
                </w:p>
                <w:p>
                  <w:pPr>
                    <w:pStyle w:val="null3"/>
                  </w:pPr>
                  <w:r>
                    <w:rPr>
                      <w:rFonts w:ascii="仿宋_GB2312" w:hAnsi="仿宋_GB2312" w:cs="仿宋_GB2312" w:eastAsia="仿宋_GB2312"/>
                      <w:sz w:val="19"/>
                    </w:rPr>
                    <w:t>2.3.3 质量数范围涵盖：（2-3000）Da，Q1和Q3均可以达到；（需提供证明文件）；</w:t>
                  </w:r>
                </w:p>
                <w:p>
                  <w:pPr>
                    <w:pStyle w:val="null3"/>
                  </w:pPr>
                  <w:r>
                    <w:rPr>
                      <w:rFonts w:ascii="仿宋_GB2312" w:hAnsi="仿宋_GB2312" w:cs="仿宋_GB2312" w:eastAsia="仿宋_GB2312"/>
                      <w:sz w:val="19"/>
                    </w:rPr>
                    <w:t>2.3.4 共轭双曲面四极杆扫描速度：≥15000amu/s；</w:t>
                  </w:r>
                </w:p>
                <w:p>
                  <w:pPr>
                    <w:pStyle w:val="null3"/>
                  </w:pPr>
                  <w:r>
                    <w:rPr>
                      <w:rFonts w:ascii="仿宋_GB2312" w:hAnsi="仿宋_GB2312" w:cs="仿宋_GB2312" w:eastAsia="仿宋_GB2312"/>
                      <w:sz w:val="19"/>
                    </w:rPr>
                    <w:t>2.3.5 最大SRM扫描速度：≥600 SRMs/秒，无交叉污染；（需提供证明文件）；</w:t>
                  </w:r>
                </w:p>
                <w:p>
                  <w:pPr>
                    <w:pStyle w:val="null3"/>
                  </w:pPr>
                  <w:r>
                    <w:rPr>
                      <w:rFonts w:ascii="仿宋_GB2312" w:hAnsi="仿宋_GB2312" w:cs="仿宋_GB2312" w:eastAsia="仿宋_GB2312"/>
                      <w:sz w:val="19"/>
                    </w:rPr>
                    <w:t>2.3.6 正负离子切换速度：≤5 ms；提供证明文件。（需提供证明文件）；</w:t>
                  </w:r>
                </w:p>
                <w:p>
                  <w:pPr>
                    <w:pStyle w:val="null3"/>
                  </w:pPr>
                  <w:r>
                    <w:rPr>
                      <w:rFonts w:ascii="仿宋_GB2312" w:hAnsi="仿宋_GB2312" w:cs="仿宋_GB2312" w:eastAsia="仿宋_GB2312"/>
                      <w:sz w:val="19"/>
                    </w:rPr>
                    <w:t>2.3.7 质量精度：≤±0.05Da；</w:t>
                  </w:r>
                </w:p>
                <w:p>
                  <w:pPr>
                    <w:pStyle w:val="null3"/>
                  </w:pPr>
                  <w:r>
                    <w:rPr>
                      <w:rFonts w:ascii="仿宋_GB2312" w:hAnsi="仿宋_GB2312" w:cs="仿宋_GB2312" w:eastAsia="仿宋_GB2312"/>
                      <w:sz w:val="19"/>
                    </w:rPr>
                    <w:t>2.3.8质量轴稳定性：≤±0.1 amu/24小时（不同分辨率、不同扫描速率下、全质量数范围）；</w:t>
                  </w:r>
                </w:p>
                <w:p>
                  <w:pPr>
                    <w:pStyle w:val="null3"/>
                  </w:pPr>
                  <w:r>
                    <w:rPr>
                      <w:rFonts w:ascii="仿宋_GB2312" w:hAnsi="仿宋_GB2312" w:cs="仿宋_GB2312" w:eastAsia="仿宋_GB2312"/>
                      <w:sz w:val="19"/>
                    </w:rPr>
                    <w:t>2.4 检测器</w:t>
                  </w:r>
                </w:p>
                <w:p>
                  <w:pPr>
                    <w:pStyle w:val="null3"/>
                  </w:pPr>
                  <w:r>
                    <w:rPr>
                      <w:rFonts w:ascii="仿宋_GB2312" w:hAnsi="仿宋_GB2312" w:cs="仿宋_GB2312" w:eastAsia="仿宋_GB2312"/>
                      <w:sz w:val="19"/>
                    </w:rPr>
                    <w:t>2.4.1双模式离散打拿极检测器，采用电子倍增器技术，动态线性范围≥106；</w:t>
                  </w:r>
                </w:p>
                <w:p>
                  <w:pPr>
                    <w:pStyle w:val="null3"/>
                  </w:pPr>
                  <w:r>
                    <w:rPr>
                      <w:rFonts w:ascii="仿宋_GB2312" w:hAnsi="仿宋_GB2312" w:cs="仿宋_GB2312" w:eastAsia="仿宋_GB2312"/>
                      <w:sz w:val="19"/>
                    </w:rPr>
                    <w:t>2.5 MS/MS灵敏度（需提供证明文件）；</w:t>
                  </w:r>
                </w:p>
                <w:p>
                  <w:pPr>
                    <w:pStyle w:val="null3"/>
                  </w:pPr>
                  <w:r>
                    <w:rPr>
                      <w:rFonts w:ascii="仿宋_GB2312" w:hAnsi="仿宋_GB2312" w:cs="仿宋_GB2312" w:eastAsia="仿宋_GB2312"/>
                      <w:sz w:val="19"/>
                    </w:rPr>
                    <w:t>ESI+：1pg利血平柱上进样（Q1分辨率≤0.4，Q3分辨率≤0.7amu），m/z 609&gt;195，信噪比≥500,000：1，连续六针RSD≤5% ；</w:t>
                  </w:r>
                </w:p>
                <w:p>
                  <w:pPr>
                    <w:pStyle w:val="null3"/>
                  </w:pPr>
                  <w:r>
                    <w:rPr>
                      <w:rFonts w:ascii="仿宋_GB2312" w:hAnsi="仿宋_GB2312" w:cs="仿宋_GB2312" w:eastAsia="仿宋_GB2312"/>
                      <w:sz w:val="19"/>
                    </w:rPr>
                    <w:t>ESI-：1pg利氯霉素柱上进样，m/z 321&gt;152，信噪比≥500,000：1，连续六针RSD≤5%</w:t>
                  </w:r>
                </w:p>
                <w:p>
                  <w:pPr>
                    <w:pStyle w:val="null3"/>
                  </w:pPr>
                  <w:r>
                    <w:rPr>
                      <w:rFonts w:ascii="仿宋_GB2312" w:hAnsi="仿宋_GB2312" w:cs="仿宋_GB2312" w:eastAsia="仿宋_GB2312"/>
                      <w:sz w:val="19"/>
                    </w:rPr>
                    <w:t>APCI: 1pg利血平柱上进样，m/z 609&gt;195，信噪比≥50,000：1，连续六针RSD≤5%；</w:t>
                  </w:r>
                </w:p>
                <w:p>
                  <w:pPr>
                    <w:pStyle w:val="null3"/>
                  </w:pPr>
                  <w:r>
                    <w:rPr>
                      <w:rFonts w:ascii="仿宋_GB2312" w:hAnsi="仿宋_GB2312" w:cs="仿宋_GB2312" w:eastAsia="仿宋_GB2312"/>
                      <w:sz w:val="19"/>
                    </w:rPr>
                    <w:t>2.6 真空系统</w:t>
                  </w:r>
                </w:p>
                <w:p>
                  <w:pPr>
                    <w:pStyle w:val="null3"/>
                  </w:pPr>
                  <w:r>
                    <w:rPr>
                      <w:rFonts w:ascii="仿宋_GB2312" w:hAnsi="仿宋_GB2312" w:cs="仿宋_GB2312" w:eastAsia="仿宋_GB2312"/>
                      <w:sz w:val="19"/>
                    </w:rPr>
                    <w:t>2.6.1 由1个分子涡轮泵（三级差分）和1个机械泵组成的4级差分真空系统；</w:t>
                  </w:r>
                </w:p>
                <w:p>
                  <w:pPr>
                    <w:pStyle w:val="null3"/>
                  </w:pPr>
                  <w:r>
                    <w:rPr>
                      <w:rFonts w:ascii="仿宋_GB2312" w:hAnsi="仿宋_GB2312" w:cs="仿宋_GB2312" w:eastAsia="仿宋_GB2312"/>
                      <w:sz w:val="19"/>
                    </w:rPr>
                    <w:t>2.6.2四级差分抽真空，真空度≤5·10-6 Torr。</w:t>
                  </w:r>
                </w:p>
                <w:p>
                  <w:pPr>
                    <w:pStyle w:val="null3"/>
                  </w:pPr>
                  <w:r>
                    <w:rPr>
                      <w:rFonts w:ascii="仿宋_GB2312" w:hAnsi="仿宋_GB2312" w:cs="仿宋_GB2312" w:eastAsia="仿宋_GB2312"/>
                      <w:sz w:val="19"/>
                    </w:rPr>
                    <w:t>3 数据处理系统：</w:t>
                  </w:r>
                </w:p>
                <w:p>
                  <w:pPr>
                    <w:pStyle w:val="null3"/>
                  </w:pPr>
                  <w:r>
                    <w:rPr>
                      <w:rFonts w:ascii="仿宋_GB2312" w:hAnsi="仿宋_GB2312" w:cs="仿宋_GB2312" w:eastAsia="仿宋_GB2312"/>
                      <w:sz w:val="19"/>
                    </w:rPr>
                    <w:t>3.1 数据处理系统2套：提供LC和MS/MS的全自动控制；工作站及软件具备数据采集、数据处理、定性定量分析、建立数据库、谱库检索等功能；其中一套原厂配备与设备相连，26’或以上LED高清显示器。另一套国内配备专用于数据传输，配置如下：Intel i9或以上处理器，Windows 10操作系统，专业版64位，四核主频3.6GHz以上，内存≥16G，固态硬盘≥1T，以及16T机械硬盘，32’或以上LED高清显示器，配无线鼠标、无线键盘各2套，网卡保证能实现两个系统共享。两个系统均要保证硬件和软件适配；配备数据打印输出功能≥400MHz，USB连线+无线功能，分辨率≥1200×1200dpi。</w:t>
                  </w:r>
                </w:p>
                <w:p>
                  <w:pPr>
                    <w:pStyle w:val="null3"/>
                  </w:pPr>
                  <w:r>
                    <w:rPr>
                      <w:rFonts w:ascii="仿宋_GB2312" w:hAnsi="仿宋_GB2312" w:cs="仿宋_GB2312" w:eastAsia="仿宋_GB2312"/>
                      <w:sz w:val="19"/>
                    </w:rPr>
                    <w:t>3.2 MSDS查询功能：（需提供证明文件）</w:t>
                  </w:r>
                </w:p>
                <w:p>
                  <w:pPr>
                    <w:pStyle w:val="null3"/>
                  </w:pPr>
                  <w:r>
                    <w:rPr>
                      <w:rFonts w:ascii="仿宋_GB2312" w:hAnsi="仿宋_GB2312" w:cs="仿宋_GB2312" w:eastAsia="仿宋_GB2312"/>
                      <w:sz w:val="19"/>
                    </w:rPr>
                    <w:t>3.2.1. 提供2015版《危险化学品目录》中2828种危化品的MSDS文件及其它常用化学品的MSDS文件；</w:t>
                  </w:r>
                </w:p>
                <w:p>
                  <w:pPr>
                    <w:pStyle w:val="null3"/>
                  </w:pPr>
                  <w:r>
                    <w:rPr>
                      <w:rFonts w:ascii="仿宋_GB2312" w:hAnsi="仿宋_GB2312" w:cs="仿宋_GB2312" w:eastAsia="仿宋_GB2312"/>
                      <w:sz w:val="19"/>
                    </w:rPr>
                    <w:t>3.2.2.用户可根据中文名称、精确名称、英文名称、CAS.NO进行检索；</w:t>
                  </w:r>
                </w:p>
                <w:p>
                  <w:pPr>
                    <w:pStyle w:val="null3"/>
                  </w:pPr>
                  <w:r>
                    <w:rPr>
                      <w:rFonts w:ascii="仿宋_GB2312" w:hAnsi="仿宋_GB2312" w:cs="仿宋_GB2312" w:eastAsia="仿宋_GB2312"/>
                      <w:sz w:val="19"/>
                    </w:rPr>
                    <w:t>3.2.3.用户管理员也可对MSDS文件进行上传，系统具备单个文件上传及压缩文件批量导入的功能；</w:t>
                  </w:r>
                </w:p>
                <w:p>
                  <w:pPr>
                    <w:pStyle w:val="null3"/>
                  </w:pPr>
                  <w:r>
                    <w:rPr>
                      <w:rFonts w:ascii="仿宋_GB2312" w:hAnsi="仿宋_GB2312" w:cs="仿宋_GB2312" w:eastAsia="仿宋_GB2312"/>
                      <w:sz w:val="19"/>
                    </w:rPr>
                    <w:t>3.2.4.MSDS文件可下载；</w:t>
                  </w:r>
                </w:p>
                <w:p>
                  <w:pPr>
                    <w:pStyle w:val="null3"/>
                  </w:pPr>
                  <w:r>
                    <w:rPr>
                      <w:rFonts w:ascii="仿宋_GB2312" w:hAnsi="仿宋_GB2312" w:cs="仿宋_GB2312" w:eastAsia="仿宋_GB2312"/>
                      <w:sz w:val="19"/>
                    </w:rPr>
                    <w:t>3.2.5.需有PC端和手机APP端。</w:t>
                  </w:r>
                </w:p>
                <w:p>
                  <w:pPr>
                    <w:pStyle w:val="null3"/>
                  </w:pPr>
                  <w:r>
                    <w:rPr>
                      <w:rFonts w:ascii="仿宋_GB2312" w:hAnsi="仿宋_GB2312" w:cs="仿宋_GB2312" w:eastAsia="仿宋_GB2312"/>
                      <w:sz w:val="19"/>
                    </w:rPr>
                    <w:t>4. 超纯水发生器：</w:t>
                  </w:r>
                </w:p>
                <w:p>
                  <w:pPr>
                    <w:pStyle w:val="null3"/>
                  </w:pPr>
                  <w:r>
                    <w:rPr>
                      <w:rFonts w:ascii="仿宋_GB2312" w:hAnsi="仿宋_GB2312" w:cs="仿宋_GB2312" w:eastAsia="仿宋_GB2312"/>
                      <w:sz w:val="19"/>
                    </w:rPr>
                    <w:t>4.1 纯水产水流量：≥20 升/小时；</w:t>
                  </w:r>
                </w:p>
                <w:p>
                  <w:pPr>
                    <w:pStyle w:val="null3"/>
                  </w:pPr>
                  <w:r>
                    <w:rPr>
                      <w:rFonts w:ascii="仿宋_GB2312" w:hAnsi="仿宋_GB2312" w:cs="仿宋_GB2312" w:eastAsia="仿宋_GB2312"/>
                      <w:sz w:val="19"/>
                    </w:rPr>
                    <w:t>4.2液位实时显示功能的≥60L重力感应式水箱，内壁光滑度≤1 um；</w:t>
                  </w:r>
                </w:p>
                <w:p>
                  <w:pPr>
                    <w:pStyle w:val="null3"/>
                  </w:pPr>
                  <w:r>
                    <w:rPr>
                      <w:rFonts w:ascii="仿宋_GB2312" w:hAnsi="仿宋_GB2312" w:cs="仿宋_GB2312" w:eastAsia="仿宋_GB2312"/>
                      <w:sz w:val="19"/>
                    </w:rPr>
                    <w:t>4.3 超纯水电阻率：≥18 MΩ•cm＠25℃，TOC: ≤（1-5） ppb，细菌：≤0.1 CFU/mL；</w:t>
                  </w:r>
                </w:p>
                <w:p>
                  <w:pPr>
                    <w:pStyle w:val="null3"/>
                  </w:pPr>
                  <w:r>
                    <w:rPr>
                      <w:rFonts w:ascii="仿宋_GB2312" w:hAnsi="仿宋_GB2312" w:cs="仿宋_GB2312" w:eastAsia="仿宋_GB2312"/>
                      <w:sz w:val="19"/>
                    </w:rPr>
                    <w:t>4.4 完全再循环：纯化单元（紫外和超纯化柱）、纯化水箱、取水器采用全循环系统设计，以保证水质的长期稳定。</w:t>
                  </w:r>
                </w:p>
              </w:tc>
              <w:tc>
                <w:tcPr>
                  <w:tcW w:type="dxa" w:w="851"/>
                </w:tcPr>
                <w:p>
                  <w:pPr>
                    <w:pStyle w:val="null3"/>
                  </w:pPr>
                  <w:r>
                    <w:rPr>
                      <w:rFonts w:ascii="仿宋_GB2312" w:hAnsi="仿宋_GB2312" w:cs="仿宋_GB2312" w:eastAsia="仿宋_GB2312"/>
                      <w:sz w:val="19"/>
                    </w:rPr>
                    <w:t>1 超高效液相色谱仪（包含高压梯度泵，自动进样器，柱温箱，二极管阵列检测器） 1套</w:t>
                  </w:r>
                </w:p>
                <w:p>
                  <w:pPr>
                    <w:pStyle w:val="null3"/>
                  </w:pPr>
                  <w:r>
                    <w:rPr>
                      <w:rFonts w:ascii="仿宋_GB2312" w:hAnsi="仿宋_GB2312" w:cs="仿宋_GB2312" w:eastAsia="仿宋_GB2312"/>
                      <w:sz w:val="19"/>
                    </w:rPr>
                    <w:t>2 质谱仪（包含ESI源，APCI源及质谱主机） 1套；</w:t>
                  </w:r>
                </w:p>
                <w:p>
                  <w:pPr>
                    <w:pStyle w:val="null3"/>
                  </w:pPr>
                  <w:r>
                    <w:rPr>
                      <w:rFonts w:ascii="仿宋_GB2312" w:hAnsi="仿宋_GB2312" w:cs="仿宋_GB2312" w:eastAsia="仿宋_GB2312"/>
                      <w:sz w:val="19"/>
                    </w:rPr>
                    <w:t>3 工作站及软件 1套；</w:t>
                  </w:r>
                </w:p>
                <w:p>
                  <w:pPr>
                    <w:pStyle w:val="null3"/>
                  </w:pPr>
                  <w:r>
                    <w:rPr>
                      <w:rFonts w:ascii="仿宋_GB2312" w:hAnsi="仿宋_GB2312" w:cs="仿宋_GB2312" w:eastAsia="仿宋_GB2312"/>
                      <w:sz w:val="19"/>
                    </w:rPr>
                    <w:t>4 氮气发生器（≥30L/min） 1台；</w:t>
                  </w:r>
                </w:p>
                <w:p>
                  <w:pPr>
                    <w:pStyle w:val="null3"/>
                  </w:pPr>
                  <w:r>
                    <w:rPr>
                      <w:rFonts w:ascii="仿宋_GB2312" w:hAnsi="仿宋_GB2312" w:cs="仿宋_GB2312" w:eastAsia="仿宋_GB2312"/>
                      <w:sz w:val="19"/>
                    </w:rPr>
                    <w:t>5 超纯水发生器 1台；</w:t>
                  </w:r>
                </w:p>
                <w:p>
                  <w:pPr>
                    <w:pStyle w:val="null3"/>
                  </w:pPr>
                  <w:r>
                    <w:rPr>
                      <w:rFonts w:ascii="仿宋_GB2312" w:hAnsi="仿宋_GB2312" w:cs="仿宋_GB2312" w:eastAsia="仿宋_GB2312"/>
                      <w:sz w:val="19"/>
                    </w:rPr>
                    <w:t>6 UPS电源（延时1小时） 1套；</w:t>
                  </w:r>
                </w:p>
                <w:p>
                  <w:pPr>
                    <w:pStyle w:val="null3"/>
                  </w:pPr>
                  <w:r>
                    <w:rPr>
                      <w:rFonts w:ascii="仿宋_GB2312" w:hAnsi="仿宋_GB2312" w:cs="仿宋_GB2312" w:eastAsia="仿宋_GB2312"/>
                      <w:sz w:val="19"/>
                    </w:rPr>
                    <w:t>7 高纯氮气或氩气、钢瓶及减压阀  1套；</w:t>
                  </w:r>
                </w:p>
                <w:p>
                  <w:pPr>
                    <w:pStyle w:val="null3"/>
                  </w:pPr>
                  <w:r>
                    <w:rPr>
                      <w:rFonts w:ascii="仿宋_GB2312" w:hAnsi="仿宋_GB2312" w:cs="仿宋_GB2312" w:eastAsia="仿宋_GB2312"/>
                      <w:sz w:val="19"/>
                    </w:rPr>
                    <w:t>8 C18超高效液相色谱柱（100 * 2.1mm，1.9µm或2.2µm） 3根；</w:t>
                  </w:r>
                </w:p>
                <w:p>
                  <w:pPr>
                    <w:pStyle w:val="null3"/>
                  </w:pPr>
                  <w:r>
                    <w:rPr>
                      <w:rFonts w:ascii="仿宋_GB2312" w:hAnsi="仿宋_GB2312" w:cs="仿宋_GB2312" w:eastAsia="仿宋_GB2312"/>
                      <w:sz w:val="19"/>
                    </w:rPr>
                    <w:t>9 Hilic超高效液相色谱柱（100 * 2.1mm，1.9µm） 1根；</w:t>
                  </w:r>
                </w:p>
                <w:p>
                  <w:pPr>
                    <w:pStyle w:val="null3"/>
                  </w:pPr>
                  <w:r>
                    <w:rPr>
                      <w:rFonts w:ascii="仿宋_GB2312" w:hAnsi="仿宋_GB2312" w:cs="仿宋_GB2312" w:eastAsia="仿宋_GB2312"/>
                      <w:sz w:val="19"/>
                    </w:rPr>
                    <w:t>10质谱校正液 1瓶；</w:t>
                  </w:r>
                </w:p>
                <w:p>
                  <w:pPr>
                    <w:pStyle w:val="null3"/>
                  </w:pPr>
                  <w:r>
                    <w:rPr>
                      <w:rFonts w:ascii="仿宋_GB2312" w:hAnsi="仿宋_GB2312" w:cs="仿宋_GB2312" w:eastAsia="仿宋_GB2312"/>
                      <w:sz w:val="19"/>
                    </w:rPr>
                    <w:t>11 泵油（2L ） 4瓶；</w:t>
                  </w:r>
                </w:p>
                <w:p>
                  <w:pPr>
                    <w:pStyle w:val="null3"/>
                  </w:pPr>
                  <w:r>
                    <w:rPr>
                      <w:rFonts w:ascii="仿宋_GB2312" w:hAnsi="仿宋_GB2312" w:cs="仿宋_GB2312" w:eastAsia="仿宋_GB2312"/>
                      <w:sz w:val="19"/>
                    </w:rPr>
                    <w:t>12 2mL样品瓶套装（瓶+盖+垫） 500个；</w:t>
                  </w:r>
                </w:p>
                <w:p>
                  <w:pPr>
                    <w:pStyle w:val="null3"/>
                  </w:pPr>
                  <w:r>
                    <w:rPr>
                      <w:rFonts w:ascii="仿宋_GB2312" w:hAnsi="仿宋_GB2312" w:cs="仿宋_GB2312" w:eastAsia="仿宋_GB2312"/>
                      <w:sz w:val="19"/>
                    </w:rPr>
                    <w:t>13金属离子传输管和喷针各 5根；</w:t>
                  </w:r>
                </w:p>
                <w:p>
                  <w:pPr>
                    <w:pStyle w:val="null3"/>
                  </w:pPr>
                  <w:r>
                    <w:rPr>
                      <w:rFonts w:ascii="仿宋_GB2312" w:hAnsi="仿宋_GB2312" w:cs="仿宋_GB2312" w:eastAsia="仿宋_GB2312"/>
                      <w:sz w:val="19"/>
                    </w:rPr>
                    <w:t>14 1L溶剂瓶 12个；</w:t>
                  </w:r>
                </w:p>
                <w:p>
                  <w:pPr>
                    <w:pStyle w:val="null3"/>
                  </w:pPr>
                  <w:r>
                    <w:rPr>
                      <w:rFonts w:ascii="仿宋_GB2312" w:hAnsi="仿宋_GB2312" w:cs="仿宋_GB2312" w:eastAsia="仿宋_GB2312"/>
                      <w:sz w:val="19"/>
                    </w:rPr>
                    <w:t>15 250mL溶剂瓶 6个；</w:t>
                  </w:r>
                </w:p>
                <w:p>
                  <w:pPr>
                    <w:pStyle w:val="null3"/>
                  </w:pPr>
                  <w:r>
                    <w:rPr>
                      <w:rFonts w:ascii="仿宋_GB2312" w:hAnsi="仿宋_GB2312" w:cs="仿宋_GB2312" w:eastAsia="仿宋_GB2312"/>
                      <w:sz w:val="19"/>
                    </w:rPr>
                    <w:t>16 桌椅一套：1.5m×0.8m（带桌下活动柜子一个和主机底座2个）。不锈钢制样桌椅一套：1.5m×0.8m。</w:t>
                  </w:r>
                </w:p>
              </w:tc>
            </w:tr>
          </w:tbl>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其他要求</w:t>
            </w:r>
          </w:p>
          <w:p>
            <w:pPr>
              <w:pStyle w:val="null3"/>
            </w:pPr>
            <w:r>
              <w:rPr>
                <w:rFonts w:ascii="仿宋_GB2312" w:hAnsi="仿宋_GB2312" w:cs="仿宋_GB2312" w:eastAsia="仿宋_GB2312"/>
              </w:rPr>
              <w:t>1、仪器免费安装调试到位（包括但不限于：接地处理、线路改造等），安装过程所需耗材配件由厂家提供。按验收指标逐项测试至达到验收要求，由用户确认签字，配合完成仪器验收工作。安装调试和初级培训完，试运行3个月后方可进行验收；</w:t>
            </w:r>
          </w:p>
          <w:p>
            <w:pPr>
              <w:pStyle w:val="null3"/>
            </w:pPr>
            <w:r>
              <w:rPr>
                <w:rFonts w:ascii="仿宋_GB2312" w:hAnsi="仿宋_GB2312" w:cs="仿宋_GB2312" w:eastAsia="仿宋_GB2312"/>
              </w:rPr>
              <w:t>2、质保期：供应商提供不少于3年的原厂免费整机质保（包括主机及其余所有附件、备品备件）。质保期自仪器验收合格签字之日起计算。质保期内合同货物的维修、零配件的更换以及由此所发生的一切费用均由成交供应商承担。质保期内出现故障导致仪器停用的时间，从质保期中扣除。质保期内每年2次免费全面维修保养；</w:t>
            </w:r>
          </w:p>
          <w:p>
            <w:pPr>
              <w:pStyle w:val="null3"/>
            </w:pPr>
            <w:r>
              <w:rPr>
                <w:rFonts w:ascii="仿宋_GB2312" w:hAnsi="仿宋_GB2312" w:cs="仿宋_GB2312" w:eastAsia="仿宋_GB2312"/>
              </w:rPr>
              <w:t>3、质保期满后，24个月内，免除合同货物的维修、零配件的更换等所发生的人工服务费；</w:t>
            </w:r>
          </w:p>
          <w:p>
            <w:pPr>
              <w:pStyle w:val="null3"/>
            </w:pPr>
            <w:r>
              <w:rPr>
                <w:rFonts w:ascii="仿宋_GB2312" w:hAnsi="仿宋_GB2312" w:cs="仿宋_GB2312" w:eastAsia="仿宋_GB2312"/>
              </w:rPr>
              <w:t>4、质保期满前1个月内成交供应商应负责一次免费全面检查，排除并解决潜在问题；</w:t>
            </w:r>
          </w:p>
          <w:p>
            <w:pPr>
              <w:pStyle w:val="null3"/>
            </w:pPr>
            <w:r>
              <w:rPr>
                <w:rFonts w:ascii="仿宋_GB2312" w:hAnsi="仿宋_GB2312" w:cs="仿宋_GB2312" w:eastAsia="仿宋_GB2312"/>
              </w:rPr>
              <w:t>5、设备如有配套软件，须提供免费升级服务。</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交货期：合同签订之日起90日历日内完成交付、安装及调试。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交货地点：西安建筑科技大学草堂校区分析测试中心2楼205室</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付款条件说明：1、响应产品为进口设备：合同生效后，由学校通过双方认可的进口业务代理公司向成交供应商指定国外设备供应商开出100%信用证，其中90%货款凭外贸合同约定单据及学校出具的开箱点货报告原件解付，其余10%货款在设备验收合格后凭学校签署验收报告解付，达到付款条件起 30 日内，支付合同总金额的 100.00%。 2、响应产品为国产设备：合同签订后，供应商先行垫资，待所有设备到达指定地点、安装调试完成并由学校验收合格后，凭供应商开具的全额增值税专用发票，30日内一次性付清合同款项。 如供应商向学校提供银行、保险公司等金融机构出具的预付款保函或其他担保措施，学校可向供应商支付合同总价的40%作为预付款；待所有设备到达指定地点、安装调试完成并验收合格后，凭供应商开具的全额增值税专用发票，30日内付清剩余合同款项，达到付款条件起 30 日内，支付合同总金额的 100.00%。（备注：国内现货进口设备，按国产付款）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1.验收分初次开箱验收和学校最终验收两个阶段，以最终验收为准。 2.货物到货后，甲、乙双方共同开箱验收。在检查货物原产地、型号、规格、配置符合合同要求后，由乙方负责安装调试、甲方使用单位负责技术验收（乙方协助），验收以国内行业标准或合同文本货物供货配置清单中描述的有关技术要求为准。 3.甲方使用单位初验合格后提出验收申请，学校相关部门根据使用单位技术验收结果，组织有关专家进行货物的最终验收。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质保期：供应商提供不少于3年的原厂免费整机质保（包括主机及其余所有附件、备品备件）。</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合同的履行、违约责任和解决争议的方法等适用《中华人民共和国民法典》。具体详见合同文本。</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1、成交供应商在领取成交通知书时提供2套纸质响应文件（1正1副），纸质版响应文件应与线上电子投标文件保持一致并加盖公章。 2、（1）谈判保证金：保证金有效期：90日历天。采用汇票、支票、电汇、网银、转账等非现金方式交纳（注：谈判保证金须以供应商名称汇款，转账时请注明所响应项目编号），且确保响应截止时间前到达采购代理机构指定账户，且应在开标前致电代理机构财务部门（029-88364979-810）确认谈判保证金到账情况。（2）转账事由： 项目编号（后四位）谈判保证金。</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①有效的主体资格证明：具有独立承担民事责任能力的法人、其他组织或自然人，并出具合法有效的营业执照或事业单位法人证书等国家规定的相关证明，自然人参与的提供其身份证明。 ②税收缴纳证明：提供2024年5月至今已缴纳至少一个月的依法缴纳税款的相关凭据（时间以税款所属日期为准），凭据应有税务机关或代收机关的公章或业务专用章。依法免税或无须缴纳税款的供应商，应提供相关证明文件。 ③社会保障资金缴存证明：提供2024年5月至今已缴存的至少一个月的社会保障资金缴存单据或社保机构开具的社会保险参保缴费情况证明，依法不需要缴纳社会保障资金的单位应提供相关证明材料。 ④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 ⑤承诺函：提供具有履行合同所必需的设备和专业技术能力的承诺函。 注：供应商需在项目电子化交易系统中上传①-⑤项相关证明文件并进行电子签章。</w:t>
            </w:r>
          </w:p>
        </w:tc>
        <w:tc>
          <w:tcPr>
            <w:tcW w:type="dxa" w:w="1661"/>
          </w:tcPr>
          <w:p>
            <w:pPr>
              <w:pStyle w:val="null3"/>
            </w:pPr>
            <w:r>
              <w:rPr>
                <w:rFonts w:ascii="仿宋_GB2312" w:hAnsi="仿宋_GB2312" w:cs="仿宋_GB2312" w:eastAsia="仿宋_GB2312"/>
              </w:rPr>
              <w:t>02-资格要求证明资料.docx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法人提供会计师事务所出具的有效的2023年度或2024年度审计报告（成立时间至提交投标文件截止时间不足一年的可提供成立后任意时段的资产负债表），或提交自2024年11月1日以来银行出具的资信证明，或信用担保机构出具的投标担保函（以上三种形式的资料提供任何一种即可）；其他组织和自然人提供银行出具的资信证明或财务报表。 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02-资格要求证明资料.docx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02-资格要求证明资料.docx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法定代表人授权书及被授权人身份证明。（法定代表人直接谈判只须提供其身份证明）</w:t>
            </w:r>
          </w:p>
        </w:tc>
        <w:tc>
          <w:tcPr>
            <w:tcW w:type="dxa" w:w="1661"/>
          </w:tcPr>
          <w:p>
            <w:pPr>
              <w:pStyle w:val="null3"/>
            </w:pPr>
            <w:r>
              <w:rPr>
                <w:rFonts w:ascii="仿宋_GB2312" w:hAnsi="仿宋_GB2312" w:cs="仿宋_GB2312" w:eastAsia="仿宋_GB2312"/>
              </w:rPr>
              <w:t>02-资格要求证明资料.docx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所投进口产品的完整授权链证明材料</w:t>
            </w:r>
          </w:p>
        </w:tc>
        <w:tc>
          <w:tcPr>
            <w:tcW w:type="dxa" w:w="3322"/>
          </w:tcPr>
          <w:p>
            <w:pPr>
              <w:pStyle w:val="null3"/>
            </w:pPr>
            <w:r>
              <w:rPr>
                <w:rFonts w:ascii="仿宋_GB2312" w:hAnsi="仿宋_GB2312" w:cs="仿宋_GB2312" w:eastAsia="仿宋_GB2312"/>
              </w:rPr>
              <w:t>所投产品如为进口产品，提供所投进口产品的完整授权链证明材料。</w:t>
            </w:r>
          </w:p>
        </w:tc>
        <w:tc>
          <w:tcPr>
            <w:tcW w:type="dxa" w:w="1661"/>
          </w:tcPr>
          <w:p>
            <w:pPr>
              <w:pStyle w:val="null3"/>
            </w:pPr>
            <w:r>
              <w:rPr>
                <w:rFonts w:ascii="仿宋_GB2312" w:hAnsi="仿宋_GB2312" w:cs="仿宋_GB2312" w:eastAsia="仿宋_GB2312"/>
              </w:rPr>
              <w:t>02-资格要求证明资料.docx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本项目不接受联合体谈判。</w:t>
            </w:r>
          </w:p>
        </w:tc>
        <w:tc>
          <w:tcPr>
            <w:tcW w:type="dxa" w:w="1661"/>
          </w:tcPr>
          <w:p>
            <w:pPr>
              <w:pStyle w:val="null3"/>
            </w:pPr>
            <w:r>
              <w:rPr>
                <w:rFonts w:ascii="仿宋_GB2312" w:hAnsi="仿宋_GB2312" w:cs="仿宋_GB2312" w:eastAsia="仿宋_GB2312"/>
              </w:rPr>
              <w:t>02-资格要求证明资料.docx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符合性审查</w:t>
            </w:r>
          </w:p>
        </w:tc>
        <w:tc>
          <w:tcPr>
            <w:tcW w:type="dxa" w:w="3322"/>
          </w:tcPr>
          <w:p>
            <w:pPr>
              <w:pStyle w:val="null3"/>
            </w:pPr>
            <w:r>
              <w:rPr>
                <w:rFonts w:ascii="仿宋_GB2312" w:hAnsi="仿宋_GB2312" w:cs="仿宋_GB2312" w:eastAsia="仿宋_GB2312"/>
              </w:rPr>
              <w:t>有下列情形之一的，应在符合性审查时按照无效响应处理：(1)响应文件未按照采购文件规定要求签署、盖章； (2)不满足本谈判文件中“交货时间、交货地点、采购资金的支付方式及约定、质量保修范围和保修期”的实质性条款要求； (3)谈判有效期不足或无有效期； (4)报价超过谈判文件中规定的最高限价； (5)保证金交纳不符合谈判文件要求；（6）不满足本谈判文件中标注“★”的实质性条款要求的(7)法律、法规和谈判文件规定的其他无效情形。</w:t>
            </w:r>
          </w:p>
        </w:tc>
        <w:tc>
          <w:tcPr>
            <w:tcW w:type="dxa" w:w="1661"/>
          </w:tcPr>
          <w:p>
            <w:pPr>
              <w:pStyle w:val="null3"/>
            </w:pPr>
            <w:r>
              <w:rPr>
                <w:rFonts w:ascii="仿宋_GB2312" w:hAnsi="仿宋_GB2312" w:cs="仿宋_GB2312" w:eastAsia="仿宋_GB2312"/>
              </w:rPr>
              <w:t>03-诚信承诺书.docx 04-分项报价表.docx 08-拒绝商业贿赂承诺书.docx 报价表 07-谈判响应方案说明.docx 响应文件封面 06-技术指标偏差表.docx 标的清单 02-资格要求证明资料.docx 09-商务条款响应说明.docx 响应函 10-谈判保证金.docx 05-服务承诺.docx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详见附件：02-资格要求证明资料.docx</w:t>
      </w:r>
    </w:p>
    <w:p>
      <w:pPr>
        <w:pStyle w:val="null3"/>
        <w:ind w:firstLine="960"/>
      </w:pPr>
      <w:r>
        <w:rPr>
          <w:rFonts w:ascii="仿宋_GB2312" w:hAnsi="仿宋_GB2312" w:cs="仿宋_GB2312" w:eastAsia="仿宋_GB2312"/>
        </w:rPr>
        <w:t>详见附件：03-诚信承诺书.docx</w:t>
      </w:r>
    </w:p>
    <w:p>
      <w:pPr>
        <w:pStyle w:val="null3"/>
        <w:ind w:firstLine="960"/>
      </w:pPr>
      <w:r>
        <w:rPr>
          <w:rFonts w:ascii="仿宋_GB2312" w:hAnsi="仿宋_GB2312" w:cs="仿宋_GB2312" w:eastAsia="仿宋_GB2312"/>
        </w:rPr>
        <w:t>详见附件：04-分项报价表.docx</w:t>
      </w:r>
    </w:p>
    <w:p>
      <w:pPr>
        <w:pStyle w:val="null3"/>
        <w:ind w:firstLine="960"/>
      </w:pPr>
      <w:r>
        <w:rPr>
          <w:rFonts w:ascii="仿宋_GB2312" w:hAnsi="仿宋_GB2312" w:cs="仿宋_GB2312" w:eastAsia="仿宋_GB2312"/>
        </w:rPr>
        <w:t>详见附件：05-服务承诺.docx</w:t>
      </w:r>
    </w:p>
    <w:p>
      <w:pPr>
        <w:pStyle w:val="null3"/>
        <w:ind w:firstLine="960"/>
      </w:pPr>
      <w:r>
        <w:rPr>
          <w:rFonts w:ascii="仿宋_GB2312" w:hAnsi="仿宋_GB2312" w:cs="仿宋_GB2312" w:eastAsia="仿宋_GB2312"/>
        </w:rPr>
        <w:t>详见附件：06-技术指标偏差表.docx</w:t>
      </w:r>
    </w:p>
    <w:p>
      <w:pPr>
        <w:pStyle w:val="null3"/>
        <w:ind w:firstLine="960"/>
      </w:pPr>
      <w:r>
        <w:rPr>
          <w:rFonts w:ascii="仿宋_GB2312" w:hAnsi="仿宋_GB2312" w:cs="仿宋_GB2312" w:eastAsia="仿宋_GB2312"/>
        </w:rPr>
        <w:t>详见附件：07-谈判响应方案说明.docx</w:t>
      </w:r>
    </w:p>
    <w:p>
      <w:pPr>
        <w:pStyle w:val="null3"/>
        <w:ind w:firstLine="960"/>
      </w:pPr>
      <w:r>
        <w:rPr>
          <w:rFonts w:ascii="仿宋_GB2312" w:hAnsi="仿宋_GB2312" w:cs="仿宋_GB2312" w:eastAsia="仿宋_GB2312"/>
        </w:rPr>
        <w:t>详见附件：08-拒绝商业贿赂承诺书.docx</w:t>
      </w:r>
    </w:p>
    <w:p>
      <w:pPr>
        <w:pStyle w:val="null3"/>
        <w:ind w:firstLine="960"/>
      </w:pPr>
      <w:r>
        <w:rPr>
          <w:rFonts w:ascii="仿宋_GB2312" w:hAnsi="仿宋_GB2312" w:cs="仿宋_GB2312" w:eastAsia="仿宋_GB2312"/>
        </w:rPr>
        <w:t>详见附件：09-商务条款响应说明.docx</w:t>
      </w:r>
    </w:p>
    <w:p>
      <w:pPr>
        <w:pStyle w:val="null3"/>
        <w:ind w:firstLine="960"/>
      </w:pPr>
      <w:r>
        <w:rPr>
          <w:rFonts w:ascii="仿宋_GB2312" w:hAnsi="仿宋_GB2312" w:cs="仿宋_GB2312" w:eastAsia="仿宋_GB2312"/>
        </w:rPr>
        <w:t>详见附件：10-谈判保证金.docx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详见附件：01-合同模板.docx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