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932B1A">
      <w:pPr>
        <w:pStyle w:val="10"/>
        <w:jc w:val="center"/>
        <w:outlineLvl w:val="1"/>
        <w:rPr>
          <w:color w:val="auto"/>
          <w:highlight w:val="none"/>
        </w:rPr>
      </w:pPr>
      <w:r>
        <w:rPr>
          <w:rFonts w:hint="eastAsia" w:ascii="宋体" w:hAnsi="宋体" w:eastAsia="宋体" w:cs="宋体"/>
          <w:color w:val="auto"/>
          <w:sz w:val="24"/>
          <w:szCs w:val="24"/>
          <w:highlight w:val="none"/>
        </w:rPr>
        <w:t xml:space="preserve"> </w:t>
      </w:r>
      <w:r>
        <w:rPr>
          <w:rFonts w:ascii="仿宋_GB2312" w:hAnsi="仿宋_GB2312" w:eastAsia="仿宋_GB2312" w:cs="仿宋_GB2312"/>
          <w:b/>
          <w:color w:val="auto"/>
          <w:sz w:val="36"/>
          <w:highlight w:val="none"/>
        </w:rPr>
        <w:t xml:space="preserve">第八章 </w:t>
      </w:r>
      <w:bookmarkStart w:id="13" w:name="_GoBack"/>
      <w:r>
        <w:rPr>
          <w:rFonts w:ascii="仿宋_GB2312" w:hAnsi="仿宋_GB2312" w:eastAsia="仿宋_GB2312" w:cs="仿宋_GB2312"/>
          <w:b/>
          <w:color w:val="auto"/>
          <w:sz w:val="36"/>
          <w:highlight w:val="none"/>
        </w:rPr>
        <w:t>拟签订采购合同文本</w:t>
      </w:r>
      <w:bookmarkEnd w:id="13"/>
    </w:p>
    <w:p w14:paraId="777C4363">
      <w:pPr>
        <w:pStyle w:val="10"/>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p>
    <w:p w14:paraId="2FA1783C">
      <w:pPr>
        <w:pStyle w:val="10"/>
        <w:keepNext w:val="0"/>
        <w:keepLines w:val="0"/>
        <w:pageBreakBefore w:val="0"/>
        <w:widowControl/>
        <w:kinsoku/>
        <w:wordWrap/>
        <w:overflowPunct/>
        <w:topLinePunct w:val="0"/>
        <w:autoSpaceDE/>
        <w:autoSpaceDN/>
        <w:bidi w:val="0"/>
        <w:adjustRightInd w:val="0"/>
        <w:snapToGrid w:val="0"/>
        <w:spacing w:line="360" w:lineRule="auto"/>
        <w:rPr>
          <w:color w:val="auto"/>
          <w:highlight w:val="none"/>
        </w:rPr>
      </w:pPr>
    </w:p>
    <w:p w14:paraId="58296219">
      <w:pPr>
        <w:keepNext w:val="0"/>
        <w:keepLines w:val="0"/>
        <w:pageBreakBefore w:val="0"/>
        <w:kinsoku/>
        <w:wordWrap/>
        <w:overflowPunct/>
        <w:topLinePunct w:val="0"/>
        <w:bidi w:val="0"/>
        <w:spacing w:line="360" w:lineRule="auto"/>
        <w:jc w:val="center"/>
        <w:textAlignment w:val="auto"/>
        <w:rPr>
          <w:rFonts w:hint="eastAsia" w:ascii="宋体" w:hAnsi="宋体" w:cs="宋体"/>
          <w:bCs/>
          <w:color w:val="auto"/>
          <w:sz w:val="32"/>
          <w:szCs w:val="32"/>
          <w:highlight w:val="none"/>
        </w:rPr>
      </w:pPr>
    </w:p>
    <w:p w14:paraId="2255A52E">
      <w:pPr>
        <w:keepNext w:val="0"/>
        <w:keepLines w:val="0"/>
        <w:pageBreakBefore w:val="0"/>
        <w:kinsoku/>
        <w:wordWrap/>
        <w:overflowPunct/>
        <w:topLinePunct w:val="0"/>
        <w:bidi w:val="0"/>
        <w:spacing w:line="360" w:lineRule="auto"/>
        <w:jc w:val="center"/>
        <w:textAlignment w:val="auto"/>
        <w:rPr>
          <w:rFonts w:hint="eastAsia" w:ascii="宋体" w:hAnsi="宋体" w:cs="宋体"/>
          <w:bCs/>
          <w:color w:val="auto"/>
          <w:sz w:val="32"/>
          <w:szCs w:val="32"/>
          <w:highlight w:val="none"/>
        </w:rPr>
      </w:pPr>
    </w:p>
    <w:p w14:paraId="50EC69AA">
      <w:pPr>
        <w:keepNext w:val="0"/>
        <w:keepLines w:val="0"/>
        <w:pageBreakBefore w:val="0"/>
        <w:kinsoku/>
        <w:wordWrap/>
        <w:overflowPunct/>
        <w:topLinePunct w:val="0"/>
        <w:bidi w:val="0"/>
        <w:spacing w:line="360" w:lineRule="auto"/>
        <w:jc w:val="center"/>
        <w:textAlignment w:val="auto"/>
        <w:rPr>
          <w:rFonts w:hint="eastAsia" w:ascii="宋体" w:hAnsi="宋体" w:cs="宋体"/>
          <w:bCs/>
          <w:color w:val="auto"/>
          <w:sz w:val="32"/>
          <w:szCs w:val="32"/>
          <w:highlight w:val="none"/>
        </w:rPr>
      </w:pPr>
    </w:p>
    <w:p w14:paraId="093535FE">
      <w:pPr>
        <w:keepNext w:val="0"/>
        <w:keepLines w:val="0"/>
        <w:pageBreakBefore w:val="0"/>
        <w:kinsoku/>
        <w:wordWrap/>
        <w:overflowPunct/>
        <w:topLinePunct w:val="0"/>
        <w:bidi w:val="0"/>
        <w:spacing w:line="360" w:lineRule="auto"/>
        <w:jc w:val="center"/>
        <w:textAlignment w:val="auto"/>
        <w:rPr>
          <w:rFonts w:hint="eastAsia" w:ascii="宋体" w:hAnsi="宋体" w:cs="宋体"/>
          <w:bCs/>
          <w:color w:val="auto"/>
          <w:sz w:val="44"/>
          <w:szCs w:val="44"/>
          <w:highlight w:val="none"/>
        </w:rPr>
      </w:pPr>
    </w:p>
    <w:p w14:paraId="2B2C0343">
      <w:pPr>
        <w:keepNext w:val="0"/>
        <w:keepLines w:val="0"/>
        <w:pageBreakBefore w:val="0"/>
        <w:kinsoku/>
        <w:wordWrap/>
        <w:overflowPunct/>
        <w:topLinePunct w:val="0"/>
        <w:bidi w:val="0"/>
        <w:spacing w:line="360" w:lineRule="auto"/>
        <w:jc w:val="center"/>
        <w:textAlignment w:val="auto"/>
        <w:rPr>
          <w:rFonts w:hint="eastAsia" w:ascii="宋体" w:hAnsi="宋体" w:cs="宋体"/>
          <w:b/>
          <w:color w:val="auto"/>
          <w:sz w:val="72"/>
          <w:szCs w:val="52"/>
          <w:highlight w:val="none"/>
        </w:rPr>
      </w:pPr>
    </w:p>
    <w:p w14:paraId="63044F65">
      <w:pPr>
        <w:keepNext w:val="0"/>
        <w:keepLines w:val="0"/>
        <w:pageBreakBefore w:val="0"/>
        <w:kinsoku/>
        <w:wordWrap/>
        <w:overflowPunct/>
        <w:topLinePunct w:val="0"/>
        <w:bidi w:val="0"/>
        <w:spacing w:line="360" w:lineRule="auto"/>
        <w:jc w:val="center"/>
        <w:textAlignment w:val="auto"/>
        <w:rPr>
          <w:rFonts w:hint="eastAsia" w:ascii="宋体" w:hAnsi="宋体" w:cs="宋体"/>
          <w:b/>
          <w:color w:val="auto"/>
          <w:sz w:val="72"/>
          <w:szCs w:val="52"/>
          <w:highlight w:val="none"/>
        </w:rPr>
      </w:pPr>
    </w:p>
    <w:p w14:paraId="7D7C2DCF">
      <w:pPr>
        <w:keepNext w:val="0"/>
        <w:keepLines w:val="0"/>
        <w:pageBreakBefore w:val="0"/>
        <w:kinsoku/>
        <w:wordWrap/>
        <w:overflowPunct/>
        <w:topLinePunct w:val="0"/>
        <w:bidi w:val="0"/>
        <w:spacing w:line="360" w:lineRule="auto"/>
        <w:jc w:val="center"/>
        <w:textAlignment w:val="auto"/>
        <w:rPr>
          <w:rFonts w:hint="eastAsia" w:ascii="宋体" w:hAnsi="宋体" w:cs="宋体"/>
          <w:b/>
          <w:color w:val="auto"/>
          <w:sz w:val="72"/>
          <w:szCs w:val="52"/>
          <w:highlight w:val="none"/>
        </w:rPr>
      </w:pPr>
      <w:r>
        <w:rPr>
          <w:rFonts w:hint="eastAsia" w:ascii="宋体" w:hAnsi="宋体" w:cs="宋体"/>
          <w:b/>
          <w:color w:val="auto"/>
          <w:sz w:val="72"/>
          <w:szCs w:val="52"/>
          <w:highlight w:val="none"/>
        </w:rPr>
        <w:t>建设工程施工合同</w:t>
      </w:r>
    </w:p>
    <w:p w14:paraId="7E83C5C5">
      <w:pPr>
        <w:keepNext w:val="0"/>
        <w:keepLines w:val="0"/>
        <w:pageBreakBefore w:val="0"/>
        <w:kinsoku/>
        <w:wordWrap/>
        <w:overflowPunct/>
        <w:topLinePunct w:val="0"/>
        <w:bidi w:val="0"/>
        <w:spacing w:line="360" w:lineRule="auto"/>
        <w:jc w:val="center"/>
        <w:textAlignment w:val="auto"/>
        <w:rPr>
          <w:rFonts w:hint="eastAsia" w:ascii="宋体" w:hAnsi="宋体" w:cs="宋体"/>
          <w:bCs/>
          <w:color w:val="auto"/>
          <w:sz w:val="32"/>
          <w:szCs w:val="32"/>
          <w:highlight w:val="none"/>
        </w:rPr>
      </w:pPr>
    </w:p>
    <w:p w14:paraId="29548E4C">
      <w:pPr>
        <w:keepNext w:val="0"/>
        <w:keepLines w:val="0"/>
        <w:pageBreakBefore w:val="0"/>
        <w:kinsoku/>
        <w:wordWrap/>
        <w:overflowPunct/>
        <w:topLinePunct w:val="0"/>
        <w:bidi w:val="0"/>
        <w:spacing w:line="360" w:lineRule="auto"/>
        <w:jc w:val="center"/>
        <w:textAlignment w:val="auto"/>
        <w:rPr>
          <w:rFonts w:hint="eastAsia" w:ascii="宋体" w:hAnsi="宋体" w:cs="宋体"/>
          <w:bCs/>
          <w:color w:val="auto"/>
          <w:sz w:val="32"/>
          <w:szCs w:val="32"/>
          <w:highlight w:val="none"/>
        </w:rPr>
      </w:pPr>
    </w:p>
    <w:p w14:paraId="04C1C657">
      <w:pPr>
        <w:keepNext w:val="0"/>
        <w:keepLines w:val="0"/>
        <w:pageBreakBefore w:val="0"/>
        <w:kinsoku/>
        <w:wordWrap/>
        <w:overflowPunct/>
        <w:topLinePunct w:val="0"/>
        <w:bidi w:val="0"/>
        <w:spacing w:line="360" w:lineRule="auto"/>
        <w:jc w:val="center"/>
        <w:textAlignment w:val="auto"/>
        <w:rPr>
          <w:rFonts w:hint="eastAsia" w:ascii="宋体" w:hAnsi="宋体" w:cs="宋体"/>
          <w:bCs/>
          <w:color w:val="auto"/>
          <w:sz w:val="32"/>
          <w:szCs w:val="32"/>
          <w:highlight w:val="none"/>
        </w:rPr>
      </w:pPr>
    </w:p>
    <w:p w14:paraId="0D37084F">
      <w:pPr>
        <w:keepNext w:val="0"/>
        <w:keepLines w:val="0"/>
        <w:pageBreakBefore w:val="0"/>
        <w:kinsoku/>
        <w:wordWrap/>
        <w:overflowPunct/>
        <w:topLinePunct w:val="0"/>
        <w:bidi w:val="0"/>
        <w:spacing w:line="360" w:lineRule="auto"/>
        <w:jc w:val="center"/>
        <w:textAlignment w:val="auto"/>
        <w:rPr>
          <w:rFonts w:hint="eastAsia" w:ascii="宋体" w:hAnsi="宋体" w:cs="宋体"/>
          <w:bCs/>
          <w:color w:val="auto"/>
          <w:sz w:val="32"/>
          <w:szCs w:val="32"/>
          <w:highlight w:val="none"/>
        </w:rPr>
      </w:pPr>
    </w:p>
    <w:p w14:paraId="168C7ABD">
      <w:pPr>
        <w:keepNext w:val="0"/>
        <w:keepLines w:val="0"/>
        <w:pageBreakBefore w:val="0"/>
        <w:kinsoku/>
        <w:wordWrap/>
        <w:overflowPunct/>
        <w:topLinePunct w:val="0"/>
        <w:bidi w:val="0"/>
        <w:spacing w:line="360" w:lineRule="auto"/>
        <w:textAlignment w:val="auto"/>
        <w:rPr>
          <w:rFonts w:hint="eastAsia" w:ascii="宋体" w:hAnsi="宋体" w:cs="宋体"/>
          <w:bCs/>
          <w:color w:val="auto"/>
          <w:sz w:val="32"/>
          <w:szCs w:val="32"/>
          <w:highlight w:val="none"/>
        </w:rPr>
      </w:pPr>
    </w:p>
    <w:p w14:paraId="08CE5A7D">
      <w:pPr>
        <w:keepNext w:val="0"/>
        <w:keepLines w:val="0"/>
        <w:pageBreakBefore w:val="0"/>
        <w:kinsoku/>
        <w:wordWrap/>
        <w:overflowPunct/>
        <w:topLinePunct w:val="0"/>
        <w:bidi w:val="0"/>
        <w:spacing w:line="360" w:lineRule="auto"/>
        <w:textAlignment w:val="auto"/>
        <w:rPr>
          <w:rFonts w:hint="eastAsia" w:ascii="宋体" w:hAnsi="宋体" w:cs="宋体"/>
          <w:bCs/>
          <w:color w:val="auto"/>
          <w:sz w:val="32"/>
          <w:szCs w:val="32"/>
          <w:highlight w:val="none"/>
        </w:rPr>
      </w:pPr>
    </w:p>
    <w:p w14:paraId="7B4364EF">
      <w:pPr>
        <w:keepNext w:val="0"/>
        <w:keepLines w:val="0"/>
        <w:pageBreakBefore w:val="0"/>
        <w:kinsoku/>
        <w:wordWrap/>
        <w:overflowPunct/>
        <w:topLinePunct w:val="0"/>
        <w:bidi w:val="0"/>
        <w:spacing w:line="360" w:lineRule="auto"/>
        <w:textAlignment w:val="auto"/>
        <w:rPr>
          <w:rFonts w:hint="eastAsia" w:ascii="宋体" w:hAnsi="宋体" w:cs="宋体"/>
          <w:bCs/>
          <w:color w:val="auto"/>
          <w:sz w:val="32"/>
          <w:szCs w:val="32"/>
          <w:highlight w:val="none"/>
        </w:rPr>
      </w:pPr>
    </w:p>
    <w:p w14:paraId="038EE42C">
      <w:pPr>
        <w:keepNext w:val="0"/>
        <w:keepLines w:val="0"/>
        <w:pageBreakBefore w:val="0"/>
        <w:kinsoku/>
        <w:wordWrap/>
        <w:overflowPunct/>
        <w:topLinePunct w:val="0"/>
        <w:bidi w:val="0"/>
        <w:spacing w:line="360" w:lineRule="auto"/>
        <w:textAlignment w:val="auto"/>
        <w:rPr>
          <w:rFonts w:hint="eastAsia" w:ascii="宋体" w:hAnsi="宋体" w:cs="宋体"/>
          <w:bCs/>
          <w:color w:val="auto"/>
          <w:sz w:val="32"/>
          <w:szCs w:val="32"/>
          <w:highlight w:val="none"/>
        </w:rPr>
      </w:pPr>
    </w:p>
    <w:p w14:paraId="300B4031">
      <w:pPr>
        <w:keepNext w:val="0"/>
        <w:keepLines w:val="0"/>
        <w:pageBreakBefore w:val="0"/>
        <w:kinsoku/>
        <w:wordWrap/>
        <w:overflowPunct/>
        <w:topLinePunct w:val="0"/>
        <w:bidi w:val="0"/>
        <w:spacing w:line="360" w:lineRule="auto"/>
        <w:textAlignment w:val="auto"/>
        <w:rPr>
          <w:rFonts w:hint="eastAsia" w:ascii="宋体" w:hAnsi="宋体" w:cs="宋体"/>
          <w:bCs/>
          <w:color w:val="auto"/>
          <w:sz w:val="32"/>
          <w:szCs w:val="32"/>
          <w:highlight w:val="none"/>
        </w:rPr>
      </w:pPr>
    </w:p>
    <w:p w14:paraId="53216FEF">
      <w:pPr>
        <w:keepNext w:val="0"/>
        <w:keepLines w:val="0"/>
        <w:pageBreakBefore w:val="0"/>
        <w:kinsoku/>
        <w:wordWrap/>
        <w:overflowPunct/>
        <w:topLinePunct w:val="0"/>
        <w:bidi w:val="0"/>
        <w:spacing w:line="360" w:lineRule="auto"/>
        <w:ind w:right="2719" w:rightChars="1295"/>
        <w:jc w:val="right"/>
        <w:textAlignment w:val="auto"/>
        <w:rPr>
          <w:rFonts w:hint="eastAsia" w:ascii="宋体" w:hAnsi="宋体" w:cs="宋体"/>
          <w:b/>
          <w:color w:val="auto"/>
          <w:sz w:val="32"/>
          <w:szCs w:val="32"/>
          <w:highlight w:val="none"/>
        </w:rPr>
      </w:pPr>
      <w:r>
        <w:rPr>
          <w:rFonts w:hint="eastAsia" w:ascii="宋体" w:hAnsi="宋体" w:cs="宋体"/>
          <w:b/>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4524375</wp:posOffset>
                </wp:positionH>
                <wp:positionV relativeFrom="paragraph">
                  <wp:posOffset>103505</wp:posOffset>
                </wp:positionV>
                <wp:extent cx="723900" cy="457200"/>
                <wp:effectExtent l="4445" t="4445" r="18415" b="10795"/>
                <wp:wrapNone/>
                <wp:docPr id="2"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16BABA9B">
                            <w:pPr>
                              <w:rPr>
                                <w:b/>
                                <w:bCs/>
                                <w:sz w:val="32"/>
                              </w:rPr>
                            </w:pPr>
                            <w:r>
                              <w:rPr>
                                <w:rFonts w:hint="eastAsia"/>
                                <w:b/>
                                <w:bCs/>
                                <w:sz w:val="32"/>
                              </w:rPr>
                              <w:t>制定</w:t>
                            </w:r>
                          </w:p>
                        </w:txbxContent>
                      </wps:txbx>
                      <wps:bodyPr wrap="square" upright="1"/>
                    </wps:wsp>
                  </a:graphicData>
                </a:graphic>
              </wp:anchor>
            </w:drawing>
          </mc:Choice>
          <mc:Fallback>
            <w:pict>
              <v:shape id="_x0000_s1026" o:spid="_x0000_s1026" o:spt="202" type="#_x0000_t202" style="position:absolute;left:0pt;margin-left:356.25pt;margin-top:8.15pt;height:36pt;width:57pt;z-index:251659264;mso-width-relative:page;mso-height-relative:page;" filled="f" stroked="t" coordsize="21600,21600" o:gfxdata="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Wqa2MdgAAAAJAQAADwAAAAAA&#10;AAABACAAAAAiAAAAZHJzL2Rvd25yZXYueG1sUEsBAhQAFAAAAAgAh07iQPqMSC0TAgAAKAQAAA4A&#10;AAAAAAAAAQAgAAAAJwEAAGRycy9lMm9Eb2MueG1sUEsFBgAAAAAGAAYAWQEAAKwFAAAAAA==&#10;">
                <v:path/>
                <v:fill on="f" focussize="0,0"/>
                <v:stroke color="#FFFFFF" joinstyle="miter"/>
                <v:imagedata o:title=""/>
                <o:lock v:ext="edit" aspectratio="f"/>
                <v:textbox>
                  <w:txbxContent>
                    <w:p w14:paraId="16BABA9B">
                      <w:pPr>
                        <w:rPr>
                          <w:b/>
                          <w:bCs/>
                          <w:sz w:val="32"/>
                        </w:rPr>
                      </w:pPr>
                      <w:r>
                        <w:rPr>
                          <w:rFonts w:hint="eastAsia"/>
                          <w:b/>
                          <w:bCs/>
                          <w:sz w:val="32"/>
                        </w:rPr>
                        <w:t>制定</w:t>
                      </w:r>
                    </w:p>
                  </w:txbxContent>
                </v:textbox>
              </v:shape>
            </w:pict>
          </mc:Fallback>
        </mc:AlternateContent>
      </w:r>
      <w:r>
        <w:rPr>
          <w:rFonts w:hint="eastAsia" w:ascii="宋体" w:hAnsi="宋体" w:cs="宋体"/>
          <w:b/>
          <w:color w:val="auto"/>
          <w:sz w:val="32"/>
          <w:szCs w:val="32"/>
          <w:highlight w:val="none"/>
        </w:rPr>
        <w:t>国家住房城乡建设部</w:t>
      </w:r>
    </w:p>
    <w:p w14:paraId="0B1DBEA6">
      <w:pPr>
        <w:keepNext w:val="0"/>
        <w:keepLines w:val="0"/>
        <w:pageBreakBefore w:val="0"/>
        <w:kinsoku/>
        <w:wordWrap/>
        <w:overflowPunct/>
        <w:topLinePunct w:val="0"/>
        <w:bidi w:val="0"/>
        <w:spacing w:line="360" w:lineRule="auto"/>
        <w:ind w:right="2719" w:rightChars="1295"/>
        <w:jc w:val="right"/>
        <w:textAlignment w:val="auto"/>
        <w:rPr>
          <w:rFonts w:hint="eastAsia" w:ascii="宋体" w:hAnsi="宋体" w:cs="宋体"/>
          <w:b/>
          <w:color w:val="auto"/>
          <w:sz w:val="32"/>
          <w:szCs w:val="32"/>
          <w:highlight w:val="none"/>
        </w:rPr>
      </w:pPr>
      <w:bookmarkStart w:id="0" w:name="_Toc11002_WPSOffice_Level2"/>
      <w:bookmarkStart w:id="1" w:name="_Toc22649_WPSOffice_Level2"/>
      <w:bookmarkStart w:id="2" w:name="_Toc11003_WPSOffice_Level2"/>
      <w:r>
        <w:rPr>
          <w:rFonts w:hint="eastAsia" w:ascii="宋体" w:hAnsi="宋体" w:cs="宋体"/>
          <w:b/>
          <w:color w:val="auto"/>
          <w:sz w:val="32"/>
          <w:szCs w:val="32"/>
          <w:highlight w:val="none"/>
        </w:rPr>
        <w:t>国家工商行政管理总局</w:t>
      </w:r>
      <w:bookmarkEnd w:id="0"/>
      <w:bookmarkEnd w:id="1"/>
      <w:bookmarkEnd w:id="2"/>
    </w:p>
    <w:p w14:paraId="1EF1D84F">
      <w:pPr>
        <w:keepNext w:val="0"/>
        <w:keepLines w:val="0"/>
        <w:pageBreakBefore w:val="0"/>
        <w:kinsoku/>
        <w:wordWrap/>
        <w:overflowPunct/>
        <w:topLinePunct w:val="0"/>
        <w:bidi w:val="0"/>
        <w:spacing w:line="360" w:lineRule="auto"/>
        <w:jc w:val="center"/>
        <w:textAlignment w:val="auto"/>
        <w:rPr>
          <w:rFonts w:hint="eastAsia" w:ascii="宋体" w:hAnsi="宋体"/>
          <w:color w:val="auto"/>
          <w:kern w:val="0"/>
          <w:sz w:val="32"/>
          <w:szCs w:val="32"/>
          <w:highlight w:val="none"/>
        </w:rPr>
      </w:pPr>
      <w:r>
        <w:rPr>
          <w:rFonts w:hint="eastAsia" w:ascii="宋体" w:hAnsi="宋体" w:cs="宋体"/>
          <w:b/>
          <w:color w:val="auto"/>
          <w:highlight w:val="none"/>
        </w:rPr>
        <w:br w:type="page"/>
      </w:r>
      <w:r>
        <w:rPr>
          <w:rFonts w:hint="eastAsia" w:ascii="宋体" w:hAnsi="宋体"/>
          <w:color w:val="auto"/>
          <w:kern w:val="0"/>
          <w:sz w:val="32"/>
          <w:szCs w:val="32"/>
          <w:highlight w:val="none"/>
        </w:rPr>
        <w:t>第一部分  协议书</w:t>
      </w:r>
    </w:p>
    <w:p w14:paraId="789C0FDB">
      <w:pPr>
        <w:keepNext w:val="0"/>
        <w:keepLines w:val="0"/>
        <w:pageBreakBefore w:val="0"/>
        <w:kinsoku/>
        <w:wordWrap/>
        <w:overflowPunct/>
        <w:topLinePunct w:val="0"/>
        <w:bidi w:val="0"/>
        <w:spacing w:line="360" w:lineRule="auto"/>
        <w:ind w:firstLine="436" w:firstLineChars="200"/>
        <w:textAlignment w:val="auto"/>
        <w:rPr>
          <w:rFonts w:hint="eastAsia" w:ascii="宋体" w:hAnsi="宋体"/>
          <w:color w:val="auto"/>
          <w:spacing w:val="4"/>
          <w:highlight w:val="none"/>
        </w:rPr>
      </w:pPr>
    </w:p>
    <w:p w14:paraId="58F9C1B6">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发包人（全称）：</w:t>
      </w:r>
      <w:r>
        <w:rPr>
          <w:rFonts w:hint="eastAsia" w:ascii="宋体" w:hAnsi="宋体"/>
          <w:color w:val="auto"/>
          <w:spacing w:val="4"/>
          <w:sz w:val="24"/>
          <w:szCs w:val="24"/>
          <w:highlight w:val="none"/>
          <w:u w:val="single"/>
          <w:lang w:eastAsia="zh-CN"/>
        </w:rPr>
        <w:t>陕西省中医医院</w:t>
      </w:r>
      <w:r>
        <w:rPr>
          <w:rFonts w:hint="eastAsia" w:ascii="宋体" w:hAnsi="宋体"/>
          <w:color w:val="auto"/>
          <w:spacing w:val="4"/>
          <w:sz w:val="24"/>
          <w:szCs w:val="24"/>
          <w:highlight w:val="none"/>
        </w:rPr>
        <w:t xml:space="preserve">  </w:t>
      </w:r>
    </w:p>
    <w:p w14:paraId="5514E13F">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z w:val="24"/>
          <w:szCs w:val="24"/>
          <w:highlight w:val="none"/>
          <w:u w:val="single"/>
        </w:rPr>
      </w:pPr>
      <w:r>
        <w:rPr>
          <w:rFonts w:hint="eastAsia" w:ascii="宋体" w:hAnsi="宋体"/>
          <w:color w:val="auto"/>
          <w:spacing w:val="4"/>
          <w:sz w:val="24"/>
          <w:szCs w:val="24"/>
          <w:highlight w:val="none"/>
        </w:rPr>
        <w:t>承包人（全称）：</w:t>
      </w:r>
      <w:r>
        <w:rPr>
          <w:rFonts w:hint="eastAsia" w:ascii="宋体" w:hAnsi="宋体"/>
          <w:color w:val="auto"/>
          <w:sz w:val="24"/>
          <w:szCs w:val="24"/>
          <w:highlight w:val="none"/>
          <w:u w:val="single"/>
        </w:rPr>
        <w:t xml:space="preserve">               </w:t>
      </w:r>
    </w:p>
    <w:p w14:paraId="172E6F71">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依照《中华人民共和国民法典》、《中华人民共和国建筑法》及其他有关法律、行政法规，遵循平等、自愿、公平和诚实信用的原则，双方就本建设工程施工协商一致，订立本合同。</w:t>
      </w:r>
    </w:p>
    <w:p w14:paraId="19D25FF1">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一、工程概况</w:t>
      </w:r>
    </w:p>
    <w:p w14:paraId="4AC547ED">
      <w:pPr>
        <w:keepNext w:val="0"/>
        <w:keepLines w:val="0"/>
        <w:pageBreakBefore w:val="0"/>
        <w:kinsoku/>
        <w:wordWrap/>
        <w:overflowPunct/>
        <w:topLinePunct w:val="0"/>
        <w:bidi w:val="0"/>
        <w:spacing w:line="360" w:lineRule="auto"/>
        <w:ind w:firstLine="496" w:firstLineChars="200"/>
        <w:textAlignment w:val="auto"/>
        <w:rPr>
          <w:rFonts w:hint="eastAsia" w:ascii="宋体" w:hAnsi="宋体" w:eastAsia="宋体"/>
          <w:color w:val="auto"/>
          <w:spacing w:val="4"/>
          <w:sz w:val="24"/>
          <w:szCs w:val="24"/>
          <w:highlight w:val="none"/>
          <w:u w:val="single"/>
          <w:lang w:eastAsia="zh-CN"/>
        </w:rPr>
      </w:pPr>
      <w:r>
        <w:rPr>
          <w:rFonts w:hint="eastAsia" w:ascii="宋体" w:hAnsi="宋体"/>
          <w:color w:val="auto"/>
          <w:spacing w:val="4"/>
          <w:sz w:val="24"/>
          <w:szCs w:val="24"/>
          <w:highlight w:val="none"/>
        </w:rPr>
        <w:t>工程名称：</w:t>
      </w:r>
      <w:r>
        <w:rPr>
          <w:rFonts w:hint="eastAsia" w:ascii="宋体" w:hAnsi="宋体"/>
          <w:color w:val="auto"/>
          <w:spacing w:val="4"/>
          <w:sz w:val="24"/>
          <w:szCs w:val="24"/>
          <w:highlight w:val="none"/>
          <w:u w:val="single"/>
          <w:lang w:eastAsia="zh-CN"/>
        </w:rPr>
        <w:t>陕西省中医医院检验科改造装修工程项目</w:t>
      </w:r>
    </w:p>
    <w:p w14:paraId="784C78B1">
      <w:pPr>
        <w:keepNext w:val="0"/>
        <w:keepLines w:val="0"/>
        <w:pageBreakBefore w:val="0"/>
        <w:kinsoku/>
        <w:wordWrap/>
        <w:overflowPunct/>
        <w:topLinePunct w:val="0"/>
        <w:bidi w:val="0"/>
        <w:spacing w:line="360" w:lineRule="auto"/>
        <w:ind w:right="-502" w:rightChars="-239" w:firstLine="496" w:firstLineChars="200"/>
        <w:textAlignment w:val="auto"/>
        <w:rPr>
          <w:rFonts w:hint="default" w:ascii="宋体" w:hAnsi="宋体"/>
          <w:color w:val="auto"/>
          <w:spacing w:val="4"/>
          <w:sz w:val="24"/>
          <w:szCs w:val="24"/>
          <w:highlight w:val="none"/>
          <w:u w:val="single"/>
          <w:lang w:val="en-US"/>
        </w:rPr>
      </w:pPr>
      <w:r>
        <w:rPr>
          <w:rFonts w:hint="eastAsia" w:ascii="宋体" w:hAnsi="宋体"/>
          <w:color w:val="auto"/>
          <w:spacing w:val="4"/>
          <w:sz w:val="24"/>
          <w:szCs w:val="24"/>
          <w:highlight w:val="none"/>
        </w:rPr>
        <w:t>工程地点：</w:t>
      </w:r>
      <w:r>
        <w:rPr>
          <w:rFonts w:hint="eastAsia" w:ascii="宋体" w:hAnsi="宋体"/>
          <w:color w:val="auto"/>
          <w:spacing w:val="4"/>
          <w:sz w:val="24"/>
          <w:szCs w:val="24"/>
          <w:highlight w:val="none"/>
          <w:u w:val="single"/>
          <w:lang w:eastAsia="zh-CN"/>
        </w:rPr>
        <w:t>陕西省中医医院</w:t>
      </w:r>
      <w:r>
        <w:rPr>
          <w:rFonts w:hint="eastAsia" w:ascii="宋体" w:hAnsi="宋体"/>
          <w:color w:val="auto"/>
          <w:spacing w:val="4"/>
          <w:sz w:val="24"/>
          <w:szCs w:val="24"/>
          <w:highlight w:val="none"/>
          <w:u w:val="single"/>
          <w:lang w:val="en-US" w:eastAsia="zh-CN"/>
        </w:rPr>
        <w:t>内</w:t>
      </w:r>
    </w:p>
    <w:p w14:paraId="3FAADD0B">
      <w:pPr>
        <w:keepNext w:val="0"/>
        <w:keepLines w:val="0"/>
        <w:pageBreakBefore w:val="0"/>
        <w:kinsoku/>
        <w:wordWrap/>
        <w:overflowPunct/>
        <w:topLinePunct w:val="0"/>
        <w:bidi w:val="0"/>
        <w:spacing w:line="360" w:lineRule="auto"/>
        <w:ind w:firstLine="496" w:firstLineChars="200"/>
        <w:textAlignment w:val="auto"/>
        <w:rPr>
          <w:rFonts w:hint="eastAsia" w:ascii="宋体" w:hAnsi="宋体" w:eastAsia="宋体"/>
          <w:color w:val="auto"/>
          <w:spacing w:val="4"/>
          <w:sz w:val="24"/>
          <w:szCs w:val="24"/>
          <w:highlight w:val="none"/>
          <w:u w:val="single"/>
          <w:lang w:eastAsia="zh-CN"/>
        </w:rPr>
      </w:pPr>
      <w:r>
        <w:rPr>
          <w:rFonts w:hint="eastAsia" w:ascii="宋体" w:hAnsi="宋体"/>
          <w:color w:val="auto"/>
          <w:spacing w:val="4"/>
          <w:sz w:val="24"/>
          <w:szCs w:val="24"/>
          <w:highlight w:val="none"/>
          <w:lang w:val="en-US" w:eastAsia="zh-CN"/>
        </w:rPr>
        <w:t>工程规模</w:t>
      </w:r>
      <w:r>
        <w:rPr>
          <w:rFonts w:hint="eastAsia" w:ascii="宋体" w:hAnsi="宋体"/>
          <w:color w:val="auto"/>
          <w:spacing w:val="4"/>
          <w:sz w:val="24"/>
          <w:szCs w:val="24"/>
          <w:highlight w:val="none"/>
        </w:rPr>
        <w:t>：</w:t>
      </w:r>
      <w:r>
        <w:rPr>
          <w:rFonts w:hint="eastAsia" w:ascii="宋体" w:hAnsi="宋体"/>
          <w:color w:val="auto"/>
          <w:spacing w:val="4"/>
          <w:sz w:val="24"/>
          <w:szCs w:val="24"/>
          <w:highlight w:val="none"/>
          <w:u w:val="single"/>
        </w:rPr>
        <w:t>本工程为检验科改造装修工程项目，改造面积约1030㎡，工程内容包含给排水、暖通、电气、消防、装饰等专业等及配套设施设备，具体详见本项目竞争性磋商文件、工程量清单、图纸、答疑文件中所涵盖采购的全部内容</w:t>
      </w:r>
      <w:r>
        <w:rPr>
          <w:rFonts w:hint="eastAsia" w:ascii="宋体" w:hAnsi="宋体"/>
          <w:color w:val="auto"/>
          <w:spacing w:val="4"/>
          <w:sz w:val="24"/>
          <w:szCs w:val="24"/>
          <w:highlight w:val="none"/>
          <w:u w:val="none"/>
          <w:lang w:eastAsia="zh-CN"/>
        </w:rPr>
        <w:t>。</w:t>
      </w:r>
    </w:p>
    <w:p w14:paraId="46B080F9">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群体工程应附承包人承揽工程项目一览表（附件1）</w:t>
      </w:r>
    </w:p>
    <w:p w14:paraId="6866ED7B">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工程立项文号：</w:t>
      </w:r>
      <w:r>
        <w:rPr>
          <w:rFonts w:hint="eastAsia" w:ascii="宋体" w:hAnsi="宋体"/>
          <w:color w:val="auto"/>
          <w:spacing w:val="4"/>
          <w:sz w:val="24"/>
          <w:szCs w:val="24"/>
          <w:highlight w:val="none"/>
          <w:u w:val="single"/>
        </w:rPr>
        <w:t xml:space="preserve">                               </w:t>
      </w:r>
    </w:p>
    <w:p w14:paraId="4BE32567">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资金来源：</w:t>
      </w:r>
      <w:r>
        <w:rPr>
          <w:rFonts w:hint="eastAsia" w:ascii="宋体" w:hAnsi="宋体"/>
          <w:color w:val="auto"/>
          <w:spacing w:val="4"/>
          <w:sz w:val="24"/>
          <w:szCs w:val="24"/>
          <w:highlight w:val="none"/>
          <w:u w:val="single"/>
        </w:rPr>
        <w:t>财政资金</w:t>
      </w:r>
    </w:p>
    <w:p w14:paraId="5E24678F">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二、工程承包范围</w:t>
      </w:r>
    </w:p>
    <w:p w14:paraId="1DCA2FF2">
      <w:pPr>
        <w:keepNext w:val="0"/>
        <w:keepLines w:val="0"/>
        <w:pageBreakBefore w:val="0"/>
        <w:kinsoku/>
        <w:wordWrap/>
        <w:overflowPunct/>
        <w:topLinePunct w:val="0"/>
        <w:bidi w:val="0"/>
        <w:spacing w:line="360" w:lineRule="auto"/>
        <w:ind w:left="15" w:leftChars="7" w:firstLine="401" w:firstLineChars="162"/>
        <w:textAlignment w:val="auto"/>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承包范围：</w:t>
      </w:r>
      <w:r>
        <w:rPr>
          <w:rFonts w:hint="eastAsia" w:ascii="宋体" w:hAnsi="宋体"/>
          <w:color w:val="auto"/>
          <w:spacing w:val="4"/>
          <w:sz w:val="24"/>
          <w:szCs w:val="24"/>
          <w:highlight w:val="none"/>
          <w:u w:val="single"/>
        </w:rPr>
        <w:t>本工程为检验科改造装修工程项目，改造面积约1030㎡，工程内容包含给排水、暖通、电气、消防、装饰等专业等及配套设施设备，具体详见本项目竞争性磋商文件、工程量清单、图纸、答疑文件中所涵盖采购的全部内容</w:t>
      </w:r>
      <w:r>
        <w:rPr>
          <w:rFonts w:hint="eastAsia" w:ascii="宋体" w:hAnsi="宋体"/>
          <w:color w:val="auto"/>
          <w:spacing w:val="4"/>
          <w:sz w:val="24"/>
          <w:szCs w:val="24"/>
          <w:highlight w:val="none"/>
        </w:rPr>
        <w:t>。</w:t>
      </w:r>
    </w:p>
    <w:p w14:paraId="1B8FE551">
      <w:pPr>
        <w:keepNext w:val="0"/>
        <w:keepLines w:val="0"/>
        <w:pageBreakBefore w:val="0"/>
        <w:kinsoku/>
        <w:wordWrap/>
        <w:overflowPunct/>
        <w:topLinePunct w:val="0"/>
        <w:bidi w:val="0"/>
        <w:spacing w:line="360" w:lineRule="auto"/>
        <w:ind w:left="1556" w:leftChars="199" w:hanging="1138" w:hangingChars="459"/>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不包括的工程范围：</w:t>
      </w:r>
      <w:r>
        <w:rPr>
          <w:rFonts w:hint="eastAsia" w:ascii="宋体" w:hAnsi="宋体"/>
          <w:color w:val="auto"/>
          <w:spacing w:val="4"/>
          <w:sz w:val="24"/>
          <w:szCs w:val="24"/>
          <w:highlight w:val="none"/>
          <w:u w:val="single"/>
        </w:rPr>
        <w:t xml:space="preserve">        ／         </w:t>
      </w:r>
    </w:p>
    <w:p w14:paraId="7A3BF76B">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三、合同工期</w:t>
      </w:r>
      <w:r>
        <w:rPr>
          <w:rFonts w:hint="eastAsia" w:ascii="宋体" w:hAns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u w:val="none"/>
        </w:rPr>
        <w:t>个</w:t>
      </w:r>
      <w:r>
        <w:rPr>
          <w:rFonts w:hint="eastAsia" w:ascii="宋体" w:hAnsi="宋体"/>
          <w:color w:val="auto"/>
          <w:spacing w:val="4"/>
          <w:sz w:val="24"/>
          <w:szCs w:val="24"/>
          <w:highlight w:val="none"/>
        </w:rPr>
        <w:t>日历天</w:t>
      </w:r>
    </w:p>
    <w:p w14:paraId="27774E50">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开工日期：</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日 （具体开工日期以开工报告或发包人书面通知为准）</w:t>
      </w:r>
    </w:p>
    <w:p w14:paraId="2F7276DB">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竣工日期：</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 xml:space="preserve">日  </w:t>
      </w:r>
    </w:p>
    <w:p w14:paraId="4B46072D">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四、质量标准</w:t>
      </w:r>
    </w:p>
    <w:p w14:paraId="4D24EC86">
      <w:pPr>
        <w:keepNext w:val="0"/>
        <w:keepLines w:val="0"/>
        <w:pageBreakBefore w:val="0"/>
        <w:kinsoku/>
        <w:wordWrap/>
        <w:overflowPunct/>
        <w:topLinePunct w:val="0"/>
        <w:bidi w:val="0"/>
        <w:spacing w:line="360" w:lineRule="auto"/>
        <w:ind w:left="2232" w:leftChars="236" w:hanging="1736" w:hangingChars="7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工程质量标准：</w:t>
      </w:r>
      <w:r>
        <w:rPr>
          <w:rFonts w:hint="eastAsia" w:ascii="宋体" w:hAnsi="宋体"/>
          <w:color w:val="auto"/>
          <w:spacing w:val="4"/>
          <w:sz w:val="24"/>
          <w:szCs w:val="24"/>
          <w:highlight w:val="none"/>
          <w:u w:val="single"/>
          <w:lang w:eastAsia="zh-CN"/>
        </w:rPr>
        <w:t>合格（达到国家强制性合格标准）</w:t>
      </w:r>
      <w:r>
        <w:rPr>
          <w:rFonts w:hint="eastAsia" w:ascii="宋体" w:hAnsi="宋体"/>
          <w:bCs/>
          <w:color w:val="auto"/>
          <w:spacing w:val="6"/>
          <w:sz w:val="24"/>
          <w:szCs w:val="24"/>
          <w:highlight w:val="none"/>
          <w:u w:val="single"/>
        </w:rPr>
        <w:t>。</w:t>
      </w:r>
    </w:p>
    <w:p w14:paraId="4AF51F2F">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五、合同价款</w:t>
      </w:r>
    </w:p>
    <w:p w14:paraId="14134A8B">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1、合同总价（大写）：</w:t>
      </w:r>
      <w:r>
        <w:rPr>
          <w:rFonts w:hint="eastAsia" w:ascii="宋体" w:hAnsi="宋体"/>
          <w:color w:val="auto"/>
          <w:spacing w:val="4"/>
          <w:sz w:val="24"/>
          <w:szCs w:val="24"/>
          <w:highlight w:val="none"/>
          <w:u w:val="single"/>
        </w:rPr>
        <w:t xml:space="preserve"> </w:t>
      </w:r>
      <w:r>
        <w:rPr>
          <w:rFonts w:hint="eastAsia" w:ascii="宋体" w:hAnsi="宋体"/>
          <w:bCs/>
          <w:color w:val="auto"/>
          <w:spacing w:val="6"/>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（人民币）元</w:t>
      </w:r>
    </w:p>
    <w:p w14:paraId="2125700B">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（小写）￥：</w:t>
      </w:r>
      <w:r>
        <w:rPr>
          <w:rFonts w:hint="eastAsia" w:ascii="宋体" w:hAnsi="宋体"/>
          <w:color w:val="auto"/>
          <w:spacing w:val="4"/>
          <w:sz w:val="24"/>
          <w:szCs w:val="24"/>
          <w:highlight w:val="none"/>
          <w:u w:val="single"/>
        </w:rPr>
        <w:t xml:space="preserve"> </w:t>
      </w:r>
      <w:r>
        <w:rPr>
          <w:rFonts w:hint="eastAsia" w:ascii="宋体" w:hAnsi="宋体"/>
          <w:bCs/>
          <w:color w:val="auto"/>
          <w:spacing w:val="6"/>
          <w:sz w:val="24"/>
          <w:szCs w:val="24"/>
          <w:highlight w:val="none"/>
          <w:u w:val="single"/>
        </w:rPr>
        <w:t xml:space="preserve">  </w:t>
      </w:r>
      <w:r>
        <w:rPr>
          <w:rFonts w:hint="eastAsia" w:ascii="宋体" w:hAnsi="宋体"/>
          <w:bCs/>
          <w:color w:val="auto"/>
          <w:spacing w:val="6"/>
          <w:sz w:val="24"/>
          <w:szCs w:val="24"/>
          <w:highlight w:val="none"/>
          <w:u w:val="single"/>
          <w:lang w:val="en-US" w:eastAsia="zh-CN"/>
        </w:rPr>
        <w:t xml:space="preserve">   </w:t>
      </w:r>
      <w:r>
        <w:rPr>
          <w:rFonts w:hint="eastAsia" w:ascii="宋体" w:hAnsi="宋体"/>
          <w:bCs/>
          <w:color w:val="auto"/>
          <w:spacing w:val="6"/>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元</w:t>
      </w:r>
    </w:p>
    <w:p w14:paraId="2BE191E5">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（其中：措施项目费</w:t>
      </w:r>
      <w:r>
        <w:rPr>
          <w:rFonts w:hint="eastAsia" w:ascii="宋体" w:hAnsi="宋体"/>
          <w:color w:val="auto"/>
          <w:spacing w:val="4"/>
          <w:sz w:val="24"/>
          <w:szCs w:val="24"/>
          <w:highlight w:val="none"/>
          <w:u w:val="single"/>
        </w:rPr>
        <w:t xml:space="preserve"> </w:t>
      </w:r>
      <w:r>
        <w:rPr>
          <w:rFonts w:hint="eastAsia" w:ascii="宋体" w:hAnsi="宋体"/>
          <w:bCs/>
          <w:color w:val="auto"/>
          <w:spacing w:val="6"/>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元，安全文明施工费</w:t>
      </w:r>
      <w:r>
        <w:rPr>
          <w:rFonts w:hint="eastAsia" w:ascii="宋体" w:hAnsi="宋体"/>
          <w:color w:val="auto"/>
          <w:spacing w:val="4"/>
          <w:sz w:val="24"/>
          <w:szCs w:val="24"/>
          <w:highlight w:val="none"/>
          <w:u w:val="single"/>
        </w:rPr>
        <w:t xml:space="preserve"> </w:t>
      </w:r>
      <w:r>
        <w:rPr>
          <w:rFonts w:hint="eastAsia" w:ascii="宋体" w:hAnsi="宋体"/>
          <w:bCs/>
          <w:color w:val="auto"/>
          <w:spacing w:val="6"/>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元,工程暂列金</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元，工程暂估价</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lang w:val="en-US" w:eastAsia="zh-CN"/>
        </w:rPr>
        <w:t xml:space="preserve">     </w:t>
      </w:r>
      <w:r>
        <w:rPr>
          <w:rFonts w:hint="eastAsia" w:ascii="宋体" w:hAnsi="宋体"/>
          <w:bCs/>
          <w:color w:val="auto"/>
          <w:spacing w:val="6"/>
          <w:sz w:val="24"/>
          <w:szCs w:val="24"/>
          <w:highlight w:val="none"/>
          <w:u w:val="single"/>
        </w:rPr>
        <w:t xml:space="preserve"> </w:t>
      </w:r>
      <w:r>
        <w:rPr>
          <w:rFonts w:hint="eastAsia" w:ascii="宋体" w:hAnsi="宋体"/>
          <w:color w:val="auto"/>
          <w:spacing w:val="4"/>
          <w:sz w:val="24"/>
          <w:szCs w:val="24"/>
          <w:highlight w:val="none"/>
        </w:rPr>
        <w:t>元。)</w:t>
      </w:r>
    </w:p>
    <w:p w14:paraId="77ED5A97">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2、综合单价：详见承包人的报价书。</w:t>
      </w:r>
    </w:p>
    <w:p w14:paraId="1E76C182">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六、组成合同的文件</w:t>
      </w:r>
    </w:p>
    <w:p w14:paraId="1CC51F86">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组成本合同的文件包括：</w:t>
      </w:r>
    </w:p>
    <w:p w14:paraId="389331A7">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1、本合同协议书</w:t>
      </w:r>
    </w:p>
    <w:p w14:paraId="54534004">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2、本合同专用条款</w:t>
      </w:r>
    </w:p>
    <w:p w14:paraId="6F9BC566">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3、本合同通用条款</w:t>
      </w:r>
    </w:p>
    <w:p w14:paraId="373E25E8">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4、</w:t>
      </w:r>
      <w:r>
        <w:rPr>
          <w:rFonts w:hint="eastAsia" w:ascii="宋体" w:hAnsi="宋体"/>
          <w:color w:val="auto"/>
          <w:spacing w:val="4"/>
          <w:sz w:val="24"/>
          <w:szCs w:val="24"/>
          <w:highlight w:val="none"/>
          <w:lang w:val="en-US" w:eastAsia="zh-CN"/>
        </w:rPr>
        <w:t>成交</w:t>
      </w:r>
      <w:r>
        <w:rPr>
          <w:rFonts w:hint="eastAsia" w:ascii="宋体" w:hAnsi="宋体"/>
          <w:color w:val="auto"/>
          <w:spacing w:val="4"/>
          <w:sz w:val="24"/>
          <w:szCs w:val="24"/>
          <w:highlight w:val="none"/>
        </w:rPr>
        <w:t>通知书</w:t>
      </w:r>
    </w:p>
    <w:p w14:paraId="29520F6C">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5、</w:t>
      </w:r>
      <w:r>
        <w:rPr>
          <w:rFonts w:hint="eastAsia" w:ascii="宋体" w:hAnsi="宋体"/>
          <w:color w:val="auto"/>
          <w:spacing w:val="4"/>
          <w:sz w:val="24"/>
          <w:szCs w:val="24"/>
          <w:highlight w:val="none"/>
          <w:lang w:eastAsia="zh-CN"/>
        </w:rPr>
        <w:t>响应文件</w:t>
      </w:r>
      <w:r>
        <w:rPr>
          <w:rFonts w:hint="eastAsia" w:ascii="宋体" w:hAnsi="宋体"/>
          <w:color w:val="auto"/>
          <w:spacing w:val="4"/>
          <w:sz w:val="24"/>
          <w:szCs w:val="24"/>
          <w:highlight w:val="none"/>
        </w:rPr>
        <w:t>、</w:t>
      </w:r>
      <w:r>
        <w:rPr>
          <w:rFonts w:hint="eastAsia" w:ascii="宋体" w:hAnsi="宋体"/>
          <w:color w:val="auto"/>
          <w:spacing w:val="4"/>
          <w:sz w:val="24"/>
          <w:szCs w:val="24"/>
          <w:highlight w:val="none"/>
          <w:lang w:val="en-US" w:eastAsia="zh-CN"/>
        </w:rPr>
        <w:t>已标价</w:t>
      </w:r>
      <w:r>
        <w:rPr>
          <w:rFonts w:hint="eastAsia" w:ascii="宋体" w:hAnsi="宋体"/>
          <w:color w:val="auto"/>
          <w:spacing w:val="4"/>
          <w:sz w:val="24"/>
          <w:szCs w:val="24"/>
          <w:highlight w:val="none"/>
        </w:rPr>
        <w:t>工程量清单及其附件</w:t>
      </w:r>
    </w:p>
    <w:p w14:paraId="441D2981">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6、</w:t>
      </w:r>
      <w:r>
        <w:rPr>
          <w:rFonts w:hint="eastAsia" w:ascii="宋体" w:hAnsi="宋体"/>
          <w:color w:val="auto"/>
          <w:spacing w:val="4"/>
          <w:sz w:val="24"/>
          <w:szCs w:val="24"/>
          <w:highlight w:val="none"/>
          <w:lang w:eastAsia="zh-CN"/>
        </w:rPr>
        <w:t>竞争性磋商文件</w:t>
      </w:r>
      <w:r>
        <w:rPr>
          <w:rFonts w:hint="eastAsia" w:ascii="宋体" w:hAnsi="宋体"/>
          <w:color w:val="auto"/>
          <w:spacing w:val="4"/>
          <w:sz w:val="24"/>
          <w:szCs w:val="24"/>
          <w:highlight w:val="none"/>
        </w:rPr>
        <w:t>、答疑纪要及工程量清单</w:t>
      </w:r>
    </w:p>
    <w:p w14:paraId="4F8DF2AB">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7、图纸</w:t>
      </w:r>
    </w:p>
    <w:p w14:paraId="6B5F1740">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8、标准、规范及有关技术文件</w:t>
      </w:r>
    </w:p>
    <w:p w14:paraId="0139D12A">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双方为履行本合同的有关洽商、变更等书面协议、文件，视为本合同的组成部分。</w:t>
      </w:r>
    </w:p>
    <w:p w14:paraId="7E7FFB5D">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七、本协议书中有关词语含义与本合同第二部分《通用条款》中赋予的定义相同。</w:t>
      </w:r>
    </w:p>
    <w:p w14:paraId="42A68324">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八、承包人按照合同约定进行施工、竣工并在质量保修期内承担工程质量保修责任。</w:t>
      </w:r>
    </w:p>
    <w:p w14:paraId="04C7653C">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九、发包人按照合同约定的期限和方式支付合同价款及其他应当支付的款项。</w:t>
      </w:r>
    </w:p>
    <w:p w14:paraId="56D962DD">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十、合同生效</w:t>
      </w:r>
    </w:p>
    <w:p w14:paraId="09E87CBF">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合同订立时间：</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年</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月</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日</w:t>
      </w:r>
    </w:p>
    <w:p w14:paraId="6886F978">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合同订立地点：</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u w:val="single"/>
        </w:rPr>
        <w:t xml:space="preserve">        </w:t>
      </w:r>
    </w:p>
    <w:p w14:paraId="2C5FF440">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本合同双方约定</w:t>
      </w:r>
      <w:r>
        <w:rPr>
          <w:rFonts w:hint="eastAsia" w:ascii="宋体" w:hAnsi="宋体"/>
          <w:color w:val="auto"/>
          <w:spacing w:val="4"/>
          <w:sz w:val="24"/>
          <w:szCs w:val="24"/>
          <w:highlight w:val="none"/>
          <w:u w:val="single"/>
        </w:rPr>
        <w:t xml:space="preserve">  双方签字盖章   </w:t>
      </w:r>
      <w:r>
        <w:rPr>
          <w:rFonts w:hint="eastAsia" w:ascii="宋体" w:hAnsi="宋体"/>
          <w:color w:val="auto"/>
          <w:spacing w:val="4"/>
          <w:sz w:val="24"/>
          <w:szCs w:val="24"/>
          <w:highlight w:val="none"/>
        </w:rPr>
        <w:t>后生效。</w:t>
      </w:r>
    </w:p>
    <w:p w14:paraId="194227FA">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发包人：（公章）</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 xml:space="preserve">    承包人：（公章）</w:t>
      </w:r>
      <w:r>
        <w:rPr>
          <w:rFonts w:hint="eastAsia" w:ascii="宋体" w:hAnsi="宋体"/>
          <w:color w:val="auto"/>
          <w:spacing w:val="4"/>
          <w:sz w:val="24"/>
          <w:szCs w:val="24"/>
          <w:highlight w:val="none"/>
          <w:u w:val="single"/>
        </w:rPr>
        <w:t xml:space="preserve">                    </w:t>
      </w:r>
    </w:p>
    <w:p w14:paraId="3CB818B4">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地址：</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 xml:space="preserve">    地址：</w:t>
      </w:r>
      <w:r>
        <w:rPr>
          <w:rFonts w:hint="eastAsia" w:ascii="宋体" w:hAnsi="宋体"/>
          <w:color w:val="auto"/>
          <w:spacing w:val="4"/>
          <w:sz w:val="24"/>
          <w:szCs w:val="24"/>
          <w:highlight w:val="none"/>
          <w:u w:val="single"/>
        </w:rPr>
        <w:t xml:space="preserve">                             </w:t>
      </w:r>
    </w:p>
    <w:p w14:paraId="01D61483">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邮政编码：</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 xml:space="preserve">   邮政编码：</w:t>
      </w:r>
      <w:r>
        <w:rPr>
          <w:rFonts w:hint="eastAsia" w:ascii="宋体" w:hAnsi="宋体"/>
          <w:color w:val="auto"/>
          <w:spacing w:val="4"/>
          <w:sz w:val="24"/>
          <w:szCs w:val="24"/>
          <w:highlight w:val="none"/>
          <w:u w:val="single"/>
        </w:rPr>
        <w:t xml:space="preserve">                          </w:t>
      </w:r>
    </w:p>
    <w:p w14:paraId="5E69BC47">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 xml:space="preserve">   法定代表人：</w:t>
      </w:r>
      <w:r>
        <w:rPr>
          <w:rFonts w:hint="eastAsia" w:ascii="宋体" w:hAnsi="宋体"/>
          <w:color w:val="auto"/>
          <w:spacing w:val="4"/>
          <w:sz w:val="24"/>
          <w:szCs w:val="24"/>
          <w:highlight w:val="none"/>
          <w:u w:val="single"/>
        </w:rPr>
        <w:t xml:space="preserve">                </w:t>
      </w:r>
    </w:p>
    <w:p w14:paraId="5E10EDA9">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委托代理人：</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 xml:space="preserve">   委托代理人：</w:t>
      </w:r>
      <w:r>
        <w:rPr>
          <w:rFonts w:hint="eastAsia" w:ascii="宋体" w:hAnsi="宋体"/>
          <w:color w:val="auto"/>
          <w:spacing w:val="4"/>
          <w:sz w:val="24"/>
          <w:szCs w:val="24"/>
          <w:highlight w:val="none"/>
          <w:u w:val="single"/>
        </w:rPr>
        <w:t xml:space="preserve">                </w:t>
      </w:r>
    </w:p>
    <w:p w14:paraId="208CC44A">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电话：</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 xml:space="preserve">   电话： </w:t>
      </w:r>
      <w:r>
        <w:rPr>
          <w:rFonts w:hint="eastAsia" w:ascii="宋体" w:hAnsi="宋体"/>
          <w:color w:val="auto"/>
          <w:spacing w:val="4"/>
          <w:sz w:val="24"/>
          <w:szCs w:val="24"/>
          <w:highlight w:val="none"/>
          <w:u w:val="single"/>
        </w:rPr>
        <w:t xml:space="preserve">                     </w:t>
      </w:r>
    </w:p>
    <w:p w14:paraId="37A750B9">
      <w:pPr>
        <w:keepNext w:val="0"/>
        <w:keepLines w:val="0"/>
        <w:pageBreakBefore w:val="0"/>
        <w:kinsoku/>
        <w:wordWrap/>
        <w:overflowPunct/>
        <w:topLinePunct w:val="0"/>
        <w:bidi w:val="0"/>
        <w:spacing w:line="360" w:lineRule="auto"/>
        <w:ind w:firstLine="496" w:firstLineChars="200"/>
        <w:textAlignment w:val="auto"/>
        <w:rPr>
          <w:rFonts w:hint="eastAsia" w:ascii="宋体" w:hAnsi="宋体"/>
          <w:color w:val="auto"/>
          <w:spacing w:val="4"/>
          <w:sz w:val="24"/>
          <w:szCs w:val="24"/>
          <w:highlight w:val="none"/>
        </w:rPr>
      </w:pPr>
      <w:r>
        <w:rPr>
          <w:rFonts w:hint="eastAsia" w:ascii="宋体" w:hAnsi="宋体"/>
          <w:color w:val="auto"/>
          <w:spacing w:val="4"/>
          <w:sz w:val="24"/>
          <w:szCs w:val="24"/>
          <w:highlight w:val="none"/>
        </w:rPr>
        <w:t>传真：</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 xml:space="preserve">   传真：</w:t>
      </w:r>
      <w:r>
        <w:rPr>
          <w:rFonts w:hint="eastAsia" w:ascii="宋体" w:hAnsi="宋体"/>
          <w:color w:val="auto"/>
          <w:spacing w:val="4"/>
          <w:sz w:val="24"/>
          <w:szCs w:val="24"/>
          <w:highlight w:val="none"/>
          <w:u w:val="single"/>
        </w:rPr>
        <w:t xml:space="preserve">                      </w:t>
      </w:r>
    </w:p>
    <w:p w14:paraId="50F331E1">
      <w:pPr>
        <w:keepNext w:val="0"/>
        <w:keepLines w:val="0"/>
        <w:pageBreakBefore w:val="0"/>
        <w:kinsoku/>
        <w:wordWrap/>
        <w:overflowPunct/>
        <w:topLinePunct w:val="0"/>
        <w:bidi w:val="0"/>
        <w:spacing w:line="360" w:lineRule="auto"/>
        <w:ind w:right="-712" w:rightChars="-339" w:firstLine="496" w:firstLineChars="200"/>
        <w:textAlignment w:val="auto"/>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开户银行：</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 xml:space="preserve">   开户银行：</w:t>
      </w:r>
      <w:r>
        <w:rPr>
          <w:rFonts w:hint="eastAsia" w:ascii="宋体" w:hAnsi="宋体"/>
          <w:color w:val="auto"/>
          <w:spacing w:val="4"/>
          <w:sz w:val="24"/>
          <w:szCs w:val="24"/>
          <w:highlight w:val="none"/>
          <w:u w:val="single"/>
        </w:rPr>
        <w:t xml:space="preserve">                        </w:t>
      </w:r>
    </w:p>
    <w:p w14:paraId="0EAA1C78">
      <w:pPr>
        <w:keepNext w:val="0"/>
        <w:keepLines w:val="0"/>
        <w:pageBreakBefore w:val="0"/>
        <w:kinsoku/>
        <w:wordWrap/>
        <w:overflowPunct/>
        <w:topLinePunct w:val="0"/>
        <w:bidi w:val="0"/>
        <w:spacing w:line="360" w:lineRule="auto"/>
        <w:ind w:right="-712" w:rightChars="-339" w:firstLine="496" w:firstLineChars="200"/>
        <w:textAlignment w:val="auto"/>
        <w:rPr>
          <w:rFonts w:hint="eastAsia" w:ascii="宋体" w:hAnsi="宋体"/>
          <w:color w:val="auto"/>
          <w:spacing w:val="4"/>
          <w:sz w:val="24"/>
          <w:szCs w:val="24"/>
          <w:highlight w:val="none"/>
          <w:u w:val="single"/>
        </w:rPr>
      </w:pPr>
      <w:r>
        <w:rPr>
          <w:rFonts w:hint="eastAsia" w:ascii="宋体" w:hAnsi="宋体"/>
          <w:color w:val="auto"/>
          <w:spacing w:val="4"/>
          <w:sz w:val="24"/>
          <w:szCs w:val="24"/>
          <w:highlight w:val="none"/>
        </w:rPr>
        <w:t>帐号：</w:t>
      </w:r>
      <w:r>
        <w:rPr>
          <w:rFonts w:hint="eastAsia" w:ascii="宋体" w:hAnsi="宋体"/>
          <w:color w:val="auto"/>
          <w:spacing w:val="4"/>
          <w:sz w:val="24"/>
          <w:szCs w:val="24"/>
          <w:highlight w:val="none"/>
          <w:u w:val="single"/>
        </w:rPr>
        <w:t xml:space="preserve">                      </w:t>
      </w:r>
      <w:r>
        <w:rPr>
          <w:rFonts w:hint="eastAsia" w:ascii="宋体" w:hAnsi="宋体"/>
          <w:color w:val="auto"/>
          <w:spacing w:val="4"/>
          <w:sz w:val="24"/>
          <w:szCs w:val="24"/>
          <w:highlight w:val="none"/>
        </w:rPr>
        <w:t xml:space="preserve">   帐号：</w:t>
      </w:r>
      <w:r>
        <w:rPr>
          <w:rFonts w:hint="eastAsia" w:ascii="宋体" w:hAnsi="宋体"/>
          <w:color w:val="auto"/>
          <w:spacing w:val="4"/>
          <w:sz w:val="24"/>
          <w:szCs w:val="24"/>
          <w:highlight w:val="none"/>
          <w:u w:val="single"/>
        </w:rPr>
        <w:t xml:space="preserve">                         </w:t>
      </w:r>
      <w:r>
        <w:rPr>
          <w:rFonts w:hint="eastAsia" w:ascii="宋体" w:hAnsi="宋体"/>
          <w:color w:val="auto"/>
          <w:sz w:val="24"/>
          <w:szCs w:val="24"/>
          <w:highlight w:val="none"/>
        </w:rPr>
        <w:t>_</w:t>
      </w:r>
    </w:p>
    <w:p w14:paraId="1604C252">
      <w:pPr>
        <w:keepNext w:val="0"/>
        <w:keepLines w:val="0"/>
        <w:pageBreakBefore w:val="0"/>
        <w:kinsoku/>
        <w:wordWrap/>
        <w:overflowPunct/>
        <w:topLinePunct w:val="0"/>
        <w:bidi w:val="0"/>
        <w:spacing w:line="360" w:lineRule="auto"/>
        <w:jc w:val="center"/>
        <w:textAlignment w:val="auto"/>
        <w:rPr>
          <w:rFonts w:hint="eastAsia" w:ascii="宋体" w:hAnsi="宋体"/>
          <w:bCs/>
          <w:color w:val="auto"/>
          <w:kern w:val="0"/>
          <w:sz w:val="36"/>
          <w:szCs w:val="36"/>
          <w:highlight w:val="none"/>
        </w:rPr>
      </w:pPr>
      <w:r>
        <w:rPr>
          <w:rFonts w:hint="eastAsia" w:ascii="宋体" w:hAnsi="宋体"/>
          <w:bCs/>
          <w:color w:val="auto"/>
          <w:kern w:val="0"/>
          <w:sz w:val="36"/>
          <w:szCs w:val="36"/>
          <w:highlight w:val="none"/>
        </w:rPr>
        <w:br w:type="page"/>
      </w:r>
      <w:r>
        <w:rPr>
          <w:rFonts w:hint="eastAsia" w:ascii="宋体" w:hAnsi="宋体"/>
          <w:bCs/>
          <w:color w:val="auto"/>
          <w:kern w:val="0"/>
          <w:sz w:val="36"/>
          <w:szCs w:val="36"/>
          <w:highlight w:val="none"/>
        </w:rPr>
        <w:t>第二部分  通用条款</w:t>
      </w:r>
    </w:p>
    <w:p w14:paraId="59C9E8B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一、词语定义及合同文件</w:t>
      </w:r>
    </w:p>
    <w:p w14:paraId="18373001">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１、词语定义</w:t>
      </w:r>
    </w:p>
    <w:p w14:paraId="7D8E46BE">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下列词语除专用条款另有约定外，应具有本条所赋予的定义：</w:t>
      </w:r>
    </w:p>
    <w:p w14:paraId="2828190B">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1.1通用条款：是根据法律、行政法规规定及建设工程施工的需要订立，通用于建设工程施工的条款。</w:t>
      </w:r>
    </w:p>
    <w:p w14:paraId="61BFFDE6">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1.2专用条款：是发包人与承包人根据法律、行政法规规定，结合具体工程实际，经协商达成一致意见的条款，是对通用条款的具体化、补充或修改。</w:t>
      </w:r>
    </w:p>
    <w:p w14:paraId="05C9BEA7">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1.3发包人：指在协议书中约定，具有工程发包主体资格和支付工程价款能力的当事人以及取得该当事人资格的合法继承人。</w:t>
      </w:r>
    </w:p>
    <w:p w14:paraId="4C360270">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1.4承包人：指在协议书中约定，被发包人接受的具有工程施工承包主体资格的当事人以及取得该当事人资格的合法继承人。</w:t>
      </w:r>
    </w:p>
    <w:p w14:paraId="115C0683">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1.5项目经理：指承包人在专用条款中指定的具有执业资格的负责施工管理和合同履行的代表。</w:t>
      </w:r>
    </w:p>
    <w:p w14:paraId="12A66B76">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1.6设计单位：指发包人委托的负责本工程设计并取得相应工程设计资质等级证书的单位。</w:t>
      </w:r>
    </w:p>
    <w:p w14:paraId="0A32724B">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1.7监理单位：指发包人委托的负责本工程监理并取得相应工程监理资质等级证书的单位。</w:t>
      </w:r>
    </w:p>
    <w:p w14:paraId="518496EA">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1.8工程师：指本工程监理单位委派的总监理工程师或发包人指定的履行本合同的代表，其具体身份和职权由发包人承包人在专用条款中约定。</w:t>
      </w:r>
    </w:p>
    <w:p w14:paraId="291FBA45">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1.9工程造价管理部门：指国务院有关部门、县级以上人民政府建设行政主管部门或其委托的工程造价管理机构。</w:t>
      </w:r>
    </w:p>
    <w:p w14:paraId="2BB4DDF8">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1.10工程：指发包人承包人在协议书中约定的承包范围内的工程。</w:t>
      </w:r>
    </w:p>
    <w:p w14:paraId="54DCF9A9">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1.11工程量清单：表现拟建工程的分部分项工程项目、措施项目、其他项目名称和相应数量的明细清单。</w:t>
      </w:r>
    </w:p>
    <w:p w14:paraId="4C42ABF8">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1.12综合单价：完成工程量清单中一个规定计量单位项目所需的人工费、材料费、机械使用费、管理费和利润，并考虑风险因素。</w:t>
      </w:r>
    </w:p>
    <w:p w14:paraId="1DBF80F3">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1.13合同价款：指发包人承包人在协议书中约定，发包人用以支付承包人按照合同约定完成承包范围内全部工程并承担质量保修责任的款项。</w:t>
      </w:r>
    </w:p>
    <w:p w14:paraId="541FBCED">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1.14预留金：指发包人为可能发生的工程量变更而预留的款额。</w:t>
      </w:r>
    </w:p>
    <w:p w14:paraId="17D795BC">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1.15工程分包和材料购置费：指发包人将按有关规定准予分包的工作、指定分包人或指定材料供应商供应材料而预留的款额。</w:t>
      </w:r>
    </w:p>
    <w:p w14:paraId="7515CD28">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1.16总承包服务费：为配合协调发包人进行的工程分包和材料采购所需的费用。</w:t>
      </w:r>
    </w:p>
    <w:p w14:paraId="5DE10431">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1.17零星工作项目费：完成发包人提出的工程量暂估的零星工作所需的费用。</w:t>
      </w:r>
    </w:p>
    <w:p w14:paraId="1D2CA9CC">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1.18追加合同价款：指在合同履行中发生需要增加合同价款的情况，经发包人确认后按计算合同价款的方法增加的合同价款。</w:t>
      </w:r>
    </w:p>
    <w:p w14:paraId="5675A51E">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1.19费用：指不包含在合同价款之内的应当由发包人或承包人承担的经济支出。</w:t>
      </w:r>
    </w:p>
    <w:p w14:paraId="2AA31776">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1.20工期：指发包人承包人在协议书中约定，按总日历天数（包括法定节假日）计算的承包天数。</w:t>
      </w:r>
    </w:p>
    <w:p w14:paraId="09250137">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1.21开工日期：指发包人承包人在协议书中约定，承包人开始施工的绝对或相对的日期。</w:t>
      </w:r>
    </w:p>
    <w:p w14:paraId="6A70505F">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1.22竣工日期：指发包人承包人在协议书中约定，承包人完成承包范围内工程的绝对或相对的日期。</w:t>
      </w:r>
    </w:p>
    <w:p w14:paraId="739F4FF9">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1.23图纸：指由发包人提供或由承包人提供并经发包人批准，满足承包人施工需要的所有图纸（包括配套说明和有关资料）。</w:t>
      </w:r>
    </w:p>
    <w:p w14:paraId="1A5F1B58">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1.24施工场地：指由发包人提供的用于工程施工的场所以及发包人在图纸中具体指定的供施工使用的任何其他场所。</w:t>
      </w:r>
    </w:p>
    <w:p w14:paraId="2A9A8EE3">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1.25书面形式：指合同书、信件和数据电文（包括电报、电传、传真、电子数据交换和电子邮件）等可以有形地表现所载内容的形式。</w:t>
      </w:r>
    </w:p>
    <w:p w14:paraId="4F0E1251">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1.26违约责任：指合同一方不履行合同义务或履行合同义务不符合约定所应承担的责任。</w:t>
      </w:r>
    </w:p>
    <w:p w14:paraId="5A31C289">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1.27索赔：指在合同履行过程中，对于并非自己的过错，而是应由对方承担责任的情况造成的实际损失，向对方提出经济补偿和（或）工期顺延的要求。</w:t>
      </w:r>
    </w:p>
    <w:p w14:paraId="3F4569EA">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1.28不可抗力：指不能预见、不能避免并不能克服的客观情况。</w:t>
      </w:r>
    </w:p>
    <w:p w14:paraId="3C9DCD5D">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46721D1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２、合同文件及解释顺序</w:t>
      </w:r>
    </w:p>
    <w:p w14:paraId="2E2B52A4">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2.1合同文件应能相互解释，互为说明。除专用条款另有约定外，组成本合同的文件及优先解释顺序如下：</w:t>
      </w:r>
    </w:p>
    <w:p w14:paraId="19843DF1">
      <w:pPr>
        <w:keepNext w:val="0"/>
        <w:keepLines w:val="0"/>
        <w:pageBreakBefore w:val="0"/>
        <w:kinsoku/>
        <w:wordWrap/>
        <w:overflowPunct/>
        <w:topLinePunct w:val="0"/>
        <w:bidi w:val="0"/>
        <w:adjustRightInd w:val="0"/>
        <w:snapToGrid w:val="0"/>
        <w:spacing w:line="360" w:lineRule="auto"/>
        <w:ind w:left="420" w:left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1、本合同协议书</w:t>
      </w:r>
    </w:p>
    <w:p w14:paraId="6E14E78F">
      <w:pPr>
        <w:keepNext w:val="0"/>
        <w:keepLines w:val="0"/>
        <w:pageBreakBefore w:val="0"/>
        <w:kinsoku/>
        <w:wordWrap/>
        <w:overflowPunct/>
        <w:topLinePunct w:val="0"/>
        <w:bidi w:val="0"/>
        <w:adjustRightInd w:val="0"/>
        <w:snapToGrid w:val="0"/>
        <w:spacing w:line="360" w:lineRule="auto"/>
        <w:ind w:left="420" w:left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2、本合同专用条款</w:t>
      </w:r>
    </w:p>
    <w:p w14:paraId="5C50D50F">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3、本合同通用条款</w:t>
      </w:r>
    </w:p>
    <w:p w14:paraId="4BC08E9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4、</w:t>
      </w:r>
      <w:r>
        <w:rPr>
          <w:rFonts w:hint="eastAsia" w:ascii="宋体" w:hAnsi="宋体" w:eastAsia="宋体" w:cs="宋体"/>
          <w:color w:val="auto"/>
          <w:sz w:val="24"/>
          <w:szCs w:val="24"/>
          <w:highlight w:val="none"/>
          <w:lang w:eastAsia="zh-CN"/>
        </w:rPr>
        <w:t>成交通知书</w:t>
      </w:r>
    </w:p>
    <w:p w14:paraId="5C2FCCE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、工程报价单或预算书及其附件</w:t>
      </w:r>
    </w:p>
    <w:p w14:paraId="6B65BF4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 xml:space="preserve">、答疑纪要及工程量清单 </w:t>
      </w:r>
    </w:p>
    <w:p w14:paraId="145322BF">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7、图纸</w:t>
      </w:r>
    </w:p>
    <w:p w14:paraId="4363BA6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8、标准、规范及有关技术文件</w:t>
      </w:r>
    </w:p>
    <w:p w14:paraId="31EF3EBD">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双方为履行本合同的有关洽商、变更等书面协议、文件，视为本合同的组成部分。</w:t>
      </w:r>
    </w:p>
    <w:p w14:paraId="34CAD66F">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6B245FC8">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3、语言文字和适用法律、标准及规范</w:t>
      </w:r>
    </w:p>
    <w:p w14:paraId="4A44BF5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3.1语言文字</w:t>
      </w:r>
    </w:p>
    <w:p w14:paraId="2116B34F">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本合同文件使用汉语语言文字书写、解释和说明。如专用条款约定使用两种以上（含两种）语言文字时，汉语应为解释和说明本合同的标准语言文字。</w:t>
      </w:r>
    </w:p>
    <w:p w14:paraId="74311FCD">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3.2适用法律和法规</w:t>
      </w:r>
    </w:p>
    <w:p w14:paraId="3AB29962">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本合同文件适用国家的法律和行政法规。需要明示的法律、行政法规，由双方在专用条款中约定。</w:t>
      </w:r>
    </w:p>
    <w:p w14:paraId="38063B8E">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3.3适用标准、规范</w:t>
      </w:r>
    </w:p>
    <w:p w14:paraId="19F930CD">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E7CAF46">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0A676EBF">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本条所发生的购买、翻译标准、规范或制定施工工艺的费用，由发包人承担。</w:t>
      </w:r>
    </w:p>
    <w:p w14:paraId="7EF5CB1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Cs/>
          <w:color w:val="auto"/>
          <w:sz w:val="24"/>
          <w:szCs w:val="24"/>
          <w:highlight w:val="none"/>
        </w:rPr>
        <w:t>４、图纸</w:t>
      </w:r>
    </w:p>
    <w:p w14:paraId="3F0A9DA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1B88D1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4.2承包人未经发包人同意，不得将本工程图纸转给第三人。工程质量保修期满后，除承包人存档需要的图纸外，应将全部图纸退还给发包人。</w:t>
      </w:r>
    </w:p>
    <w:p w14:paraId="272D0EF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4.3承包人应在施工现场保留一套完整图纸，供工程师及有关人员进行工程检查时使用。</w:t>
      </w:r>
    </w:p>
    <w:p w14:paraId="6FF9E5F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二、双方一般权利和义务</w:t>
      </w:r>
    </w:p>
    <w:p w14:paraId="581AAFD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5、工程师</w:t>
      </w:r>
    </w:p>
    <w:p w14:paraId="3C89AA17">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5.1实行工程监理的，发包人应在实施监理前将委托的监理单位名称、监理内容及监理权限以书面形式通知承包人。</w:t>
      </w:r>
    </w:p>
    <w:p w14:paraId="723A785A">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08EE0E5C">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764D35A7">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74F78334">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5.5除合同内有明确约定或经发包人同意外，负责监理的工程师无权解除本合同约定的承包人的任何权利与义务。</w:t>
      </w:r>
    </w:p>
    <w:p w14:paraId="12886358">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5.6不实行工程监理的，本合同中工程师专指发包人派驻施工场地履行合同的代表，其具体职权由发包人在专用条款内写明。</w:t>
      </w:r>
    </w:p>
    <w:p w14:paraId="4BC557F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6、工程师的委派和指令</w:t>
      </w:r>
    </w:p>
    <w:p w14:paraId="5CFF1F74">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1FC04868">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25F19D17">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除工程师或工程师代表外，发包人派驻工地的其他人员均无权向承包人发出任何指令。</w:t>
      </w:r>
    </w:p>
    <w:p w14:paraId="0F25B0FC">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5D10FC44">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30DE6CA9">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本款规定同样适用于由工程师代表发出的指令、通知。</w:t>
      </w:r>
    </w:p>
    <w:p w14:paraId="1754FE11">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6F9FE8CD">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6.4如需更换工程师，发包人应至少提前7天以书面形式通知承包人，后任继续行使合同文件约定的前任的职权，履行前任的义务。</w:t>
      </w:r>
    </w:p>
    <w:p w14:paraId="3EC99AB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Cs/>
          <w:color w:val="auto"/>
          <w:sz w:val="24"/>
          <w:szCs w:val="24"/>
          <w:highlight w:val="none"/>
        </w:rPr>
        <w:t>7、项目经理</w:t>
      </w:r>
    </w:p>
    <w:p w14:paraId="4D1F8908">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7.1项目经理的姓名、职务在专用条款内写明。</w:t>
      </w:r>
    </w:p>
    <w:p w14:paraId="762F4354">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7.2承包人依据合同发出的通知，以书面形式由项目经理签字后送交工程师，工程师在回执上签署姓名和收到时间后生效。</w:t>
      </w:r>
    </w:p>
    <w:p w14:paraId="74A3F8B9">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E39BB50">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7.4承包人如需要更换项目经理，应至少提前7天以书面形式通知发包人，并征得发包人同意。后任继续行使合同文件约定的前任的职权，履行前任的义务。</w:t>
      </w:r>
    </w:p>
    <w:p w14:paraId="3BC8E7B1">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7.5发包人可以与承包人协商，建议更换其认为不称职的项目经理。</w:t>
      </w:r>
    </w:p>
    <w:p w14:paraId="48924D4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Cs/>
          <w:color w:val="auto"/>
          <w:sz w:val="24"/>
          <w:szCs w:val="24"/>
          <w:highlight w:val="none"/>
        </w:rPr>
        <w:t>8、发包人工作</w:t>
      </w:r>
    </w:p>
    <w:p w14:paraId="46186F5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8.1发包人按专用条款约定的内容和时间完成以下工作：</w:t>
      </w:r>
    </w:p>
    <w:p w14:paraId="2C02765A">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（1）办理土地征用、拆迁补偿、平整施工场地等工作，使施工场地具备施工条件，在开工后继续负责解决以上事项遗留问题；</w:t>
      </w:r>
    </w:p>
    <w:p w14:paraId="13C810D2">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（2）将施工所需水、电、电讯线路从施工场地外部接至专用条款约定地点，保证施工期间的需要；</w:t>
      </w:r>
    </w:p>
    <w:p w14:paraId="3BCCCB05">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（3）开通施工场地与城乡公共道路的通道，以及专用条款约定的施工场地内的主要道路，满足施工运输的需要，保证施工期间的畅通；</w:t>
      </w:r>
    </w:p>
    <w:p w14:paraId="3EC344A6">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（4）向承包人提供施工场地的工程地质和地下管线资料，对资料的真实准确性负责；</w:t>
      </w:r>
    </w:p>
    <w:p w14:paraId="1D7100C0">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（5）办理施工许可证及其它施工所需批件和临时用地、停水、停电、中断道路交通、爆破作业等的证件申请批准手续（证明承包人自身资质的证件除外）；</w:t>
      </w:r>
    </w:p>
    <w:p w14:paraId="59FF1888">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（6）确定水准点与坐标控制点，以书面形式交给承包人，进行现场交验；</w:t>
      </w:r>
    </w:p>
    <w:p w14:paraId="2FE1A100">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（7）组织承包人和设计单位进行图纸会审和设计交底；</w:t>
      </w:r>
    </w:p>
    <w:p w14:paraId="638FA7B2">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（8）协调处理施工场地周围地下管线和邻近建筑物、构筑物（包括文物保护建筑）、古树名木的保护工作、承担有关费用；</w:t>
      </w:r>
    </w:p>
    <w:p w14:paraId="53DF291D">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（9）发包人应做的其他工作，双方在专用条款内约定。</w:t>
      </w:r>
    </w:p>
    <w:p w14:paraId="055636A0">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8.2发包人可以将8.1款部分工作委托承包人办理，双方在专用条款内约定，其费用由发包人承担。</w:t>
      </w:r>
    </w:p>
    <w:p w14:paraId="245A2C1B">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8.3发包人未能履行8.1款各项义务，导致工期延误或给承包人造成损失的，发包人赔偿承包人有关损失，顺延延误的工期。</w:t>
      </w:r>
    </w:p>
    <w:p w14:paraId="280EAAE2">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9、承包人工作</w:t>
      </w:r>
    </w:p>
    <w:p w14:paraId="0CD5326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9.1承包人按专用条款约定的内容和时间完成以下工作：</w:t>
      </w:r>
    </w:p>
    <w:p w14:paraId="4F772F5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（1）根据发包人委托，在其设计资质等级和业务允许的范围内，完成施工图设计或与工程配套的设计，经工程师确认后使用，发包人承担由此发生的费用；</w:t>
      </w:r>
    </w:p>
    <w:p w14:paraId="2375BDD0">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（2）向工程师提供年、季、月度工程进度计划及相应进度统计报表；</w:t>
      </w:r>
    </w:p>
    <w:p w14:paraId="433FC4C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（3）根据工程需要，提供和维修非夜间施工使用的照明、围栏设施；负责施工现场安全保卫；</w:t>
      </w:r>
    </w:p>
    <w:p w14:paraId="48785F27">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（4）按专用条款约定的数量和要求，向发包人提供施工场地办公和生活的房屋及设施，发包人承担由此发生的费用；</w:t>
      </w:r>
    </w:p>
    <w:p w14:paraId="483B1A0B">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（5）遵守政府有关主管部门对施工场地安全防护、文明施工、环境保护以及场地交通等的管理规定，按规定办理有关手续，并以书面形式通知发包人。</w:t>
      </w:r>
    </w:p>
    <w:p w14:paraId="68EA56BC">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0C29572B">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（7）按专用条款约定做好施工场地地下管线和邻近建筑物、构筑物（包括文物保护建筑）、古树名木的保护工作；</w:t>
      </w:r>
    </w:p>
    <w:p w14:paraId="0B99E782">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（8）保证施工场地清洁符合环境卫生管理的有关规定，交工前清理现场达到专用条款约定的要求，承担因自身原因违反有关规定造成的损失和罚款；</w:t>
      </w:r>
    </w:p>
    <w:p w14:paraId="222C6668">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（9）承包人应做的其他工作，双方在专用条款内约定。</w:t>
      </w:r>
    </w:p>
    <w:p w14:paraId="7A52227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9.2承包人未能履行9.1款各项义务，造成发包人损失的，承包人赔偿发包人有关损失。</w:t>
      </w:r>
    </w:p>
    <w:p w14:paraId="025EA7D1">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三、施工组织设计和工期</w:t>
      </w:r>
    </w:p>
    <w:p w14:paraId="20F721AF">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10、进度计划</w:t>
      </w:r>
    </w:p>
    <w:p w14:paraId="57F85B11">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10.1承包人应按专用条款约定的日期，将施工组织设计和工程进度计划提交工程师，工程师按专用条款约定的时间予以确认或提出修改意见，逾期不确认也不提出书面意见的，视为同意。</w:t>
      </w:r>
    </w:p>
    <w:p w14:paraId="476C41E7">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10.2群体工程中单位工程分期进行施工的，承包人应按照发包人提供图纸及有关资料的时间，按单位工程编制进度计划，其具体内容双方在专用条款中约定。</w:t>
      </w:r>
    </w:p>
    <w:p w14:paraId="10143DC9">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3953752">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11、开工及延期开工</w:t>
      </w:r>
    </w:p>
    <w:p w14:paraId="2EB56089">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6053EC27">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11.2因发包人原因不能按照协议书约定的开工日期开工，工程师应以书面形式通知承包人，推迟开工日期。发包人赔偿承包人因延期开工造成的损失，并相应顺延工期。</w:t>
      </w:r>
    </w:p>
    <w:p w14:paraId="05008DB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Cs/>
          <w:color w:val="auto"/>
          <w:sz w:val="24"/>
          <w:szCs w:val="24"/>
          <w:highlight w:val="none"/>
        </w:rPr>
        <w:t>12、暂停施工</w:t>
      </w:r>
    </w:p>
    <w:p w14:paraId="0986A33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2DD511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13、工期延误</w:t>
      </w:r>
    </w:p>
    <w:p w14:paraId="305F994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13.1因以下原因造成工期延误，经工程师确认，工期相应顺延：</w:t>
      </w:r>
    </w:p>
    <w:p w14:paraId="5B1FEF6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（1）发包人未能按专用条款的约定提供图纸及开工条件；</w:t>
      </w:r>
    </w:p>
    <w:p w14:paraId="6E871841">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（2）发包人未能按约定日期支付工程预付款、进度款，致使施工不能正常进行；</w:t>
      </w:r>
    </w:p>
    <w:p w14:paraId="509BBB9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（3）工程师未按合同约定提供所需指令、批准等，致使施工不能正常进行；</w:t>
      </w:r>
    </w:p>
    <w:p w14:paraId="17FD3FC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（4）设计变更和工程量增加；</w:t>
      </w:r>
    </w:p>
    <w:p w14:paraId="74B900F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（5）一周内非承包人原因停水、停电、停气造成停工累计超过8小时；</w:t>
      </w:r>
    </w:p>
    <w:p w14:paraId="4B3EAB4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（6）不可抗力；</w:t>
      </w:r>
    </w:p>
    <w:p w14:paraId="55F3A0F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（7）专用条款中约定或工程师同意工期顺延的其他情况。</w:t>
      </w:r>
    </w:p>
    <w:p w14:paraId="1732A2E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13.2承包人在13.1款情况发生后14天内，就延误的工期以书面形式向工程师提出报告。工程师在收到报告后14天内予以确认，逾期不予确认也不提出修改意见，视为同意顺延工期。</w:t>
      </w:r>
    </w:p>
    <w:p w14:paraId="4D14394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14、工程竣工</w:t>
      </w:r>
    </w:p>
    <w:p w14:paraId="65DF74A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14.1承包人必须按照协议书约定的竣工日期或工程师同意顺延的工期竣工。</w:t>
      </w:r>
    </w:p>
    <w:p w14:paraId="2765C07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14.2因承包人原因不能按照协议书约定的竣工日期或工程师同意顺延的工期竣工的，承包人承担违约责任。</w:t>
      </w:r>
    </w:p>
    <w:p w14:paraId="5250E45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634CB75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四、质量与检验</w:t>
      </w:r>
    </w:p>
    <w:p w14:paraId="238F0D3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15、工程质量</w:t>
      </w:r>
    </w:p>
    <w:p w14:paraId="60338DD3">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15.1工程质量应当达到协议书约定的质量标准，质量标准的评定以国家或行业的质量检验评定标准为依据。因承包人原因工程质量达不到约定的质量标准，承包人承担违约责任。</w:t>
      </w:r>
    </w:p>
    <w:p w14:paraId="73079A4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15.2双方对工程质量有争议，由双方同意的工程质量检测机构鉴定，所需费用及因此造成的损失，由责任方承担。双方均有责任，由双方根据其责任分别承担。</w:t>
      </w:r>
    </w:p>
    <w:p w14:paraId="5870E5B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16、检查和返工</w:t>
      </w:r>
    </w:p>
    <w:p w14:paraId="6CAAC87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16.1承包人应认真按照标准、规范和设计图纸要求以及工程师依据合同发出的指令施工，随时接受工程师的检查检验，为检查检验提供便利条件。</w:t>
      </w:r>
    </w:p>
    <w:p w14:paraId="2DC36421">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69013991">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16.3工程师的检查检验不应影响施工正常进行。如影响施工正常进行，检查检验不合格时，影响正常施工的费用由承包人承担。除此之外影响正常施工的追加合同价款由发包人承担，相应顺延工期。</w:t>
      </w:r>
    </w:p>
    <w:p w14:paraId="245FBFA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16.4因工程师指令失误或其他非承包人原因发生的追加合同价款，由发包人承担。</w:t>
      </w:r>
    </w:p>
    <w:p w14:paraId="5DAC6E3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17、隐蔽工程和中间验收</w:t>
      </w:r>
    </w:p>
    <w:p w14:paraId="3444BE77">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2E0CDF3">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1A23AA99">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17.3经工程师验收，工程质量符合标准、规范和设计图纸等要求，验收24小时后，工程师不在验收记录上签字，视为工程师已经认可验收记录，承包人可进行隐蔽或继续施工。</w:t>
      </w:r>
    </w:p>
    <w:p w14:paraId="0CC61612">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18、重新检验</w:t>
      </w:r>
    </w:p>
    <w:p w14:paraId="7BB2F58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13FAAE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19、工程试车</w:t>
      </w:r>
    </w:p>
    <w:p w14:paraId="2EEB4D6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19.1双方约定需要试车的，试车内容应与承包人承包的安装范围相一致。</w:t>
      </w:r>
    </w:p>
    <w:p w14:paraId="125B23B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6CBE3E8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19.3工程师不能按时参加试车，须在开始试车前24小时以书面形式向承包人提出延期要求，延期不能超过48小时。工程师未能按以上时间提出延期要求，不参加试车，应承认试车记录。</w:t>
      </w:r>
    </w:p>
    <w:p w14:paraId="5CD25E8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0A6389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19.5双方责任</w:t>
      </w:r>
    </w:p>
    <w:p w14:paraId="4213A49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（1）由于设计原因试车达不到验收要求，发包人应要求设计单位修改设计，承包人按修改后的设计重新安装。发包人承担修改设计、拆除及重新安装的全部费用和追加合同价款，工期相应顺延。</w:t>
      </w:r>
    </w:p>
    <w:p w14:paraId="52D6136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238361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（3）由于承包人施工原因试车达不到验收要求，承包人按工程师要求重新安装和试车，并承担重新安装和试车的费用，工期不予顺延。</w:t>
      </w:r>
    </w:p>
    <w:p w14:paraId="26B4028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（4）试车费用除已包括在合同价款之内或专用条款另有约定外，均由发包人承担。</w:t>
      </w:r>
    </w:p>
    <w:p w14:paraId="1713DF9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（5）工程师在试车合格后不在试车记录上签字，试车结束24小时后，视为工程师已经认可试车记录，承包人可继续施工或办理竣工手续。</w:t>
      </w:r>
    </w:p>
    <w:p w14:paraId="5B6155D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19.6投料试车应在工程竣工验收后由发包人负责，如发包人要求在工程竣工验收前进行或需要承包人配合时，应征得承包人同意，另行签订补充协议。</w:t>
      </w:r>
    </w:p>
    <w:p w14:paraId="5345AD7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五、安全防护、文明施工</w:t>
      </w:r>
    </w:p>
    <w:p w14:paraId="2285CEC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20、发包人责任</w:t>
      </w:r>
    </w:p>
    <w:p w14:paraId="48D5E86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20.1发包人应遵守安全防护和文明施工的规定，督促承包人落实安全防护、文明施工措施，并按规定支付安全防护、文明施工措施费。</w:t>
      </w:r>
    </w:p>
    <w:p w14:paraId="5DA74ABF">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20.2发包人应对其在施工现场人员进行安全防护、文明施工教育，并对他们的安全负责。</w:t>
      </w:r>
    </w:p>
    <w:p w14:paraId="05A447B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1D68B8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20.4发包人违反上述规定或由于发包人原因导致安全事故的，由发包人承担相应责任和费用，顺延延误的工期。</w:t>
      </w:r>
    </w:p>
    <w:p w14:paraId="05737B6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21、承包人责任</w:t>
      </w:r>
    </w:p>
    <w:p w14:paraId="716C3B80">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21.1承包人应遵守安全防护和文明施工的规定，建立健全安全防护和文明施工的制度，对其在施工现场人员进行安全防护、文明施工教育，并对他们的安全负责。</w:t>
      </w:r>
    </w:p>
    <w:p w14:paraId="1A5C38D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21.2完善安全防护和文明施工条件，严格按照安全防护和文明施工的规定组织施工，采取必要的安全防护措施，消除事故隐患，自觉接受和配合依法实施的监督检查。</w:t>
      </w:r>
    </w:p>
    <w:p w14:paraId="6037105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87DB110">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21.4应按规定的范围使用安全文明措施费，保证专款专用，不得挪作它用。</w:t>
      </w:r>
    </w:p>
    <w:p w14:paraId="33F79B5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21.5承包人对合同工程的安全施工负责，并应及时、如实报告生产安全事故。承包人违反上述规定或由于承包人原因造成的安全事故，由承包人承担相应责任和费用，工期不予顺延。</w:t>
      </w:r>
    </w:p>
    <w:p w14:paraId="5DD9876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7BCAB3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77ADE49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24、事故处理</w:t>
      </w:r>
    </w:p>
    <w:p w14:paraId="2563166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24.1发生伤亡及其他安全事故，承包人应按有关规定立即上报有关部门并通知工程师，同时按政府有关部门要求处理，由事故责任方承担发生的费用。</w:t>
      </w:r>
    </w:p>
    <w:p w14:paraId="4588BE6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24.2发包人承包人对事故责任有争议时，应按政府有关部门的认定处理。</w:t>
      </w:r>
    </w:p>
    <w:p w14:paraId="7AB24D2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六、合同价款</w:t>
      </w:r>
    </w:p>
    <w:p w14:paraId="1217839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25、工程的计量规则和计价办法以《陕西省建设工程工程量清单计价规则》及相关规定为准，工程师应按照合同约定，依据上述规定进行工程计量和计价。</w:t>
      </w:r>
    </w:p>
    <w:p w14:paraId="31A347F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26、合同价款约定</w:t>
      </w:r>
    </w:p>
    <w:p w14:paraId="256D1D5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26.1招标工程的合同价款由发包人承包人依据</w:t>
      </w:r>
      <w:r>
        <w:rPr>
          <w:rFonts w:hint="eastAsia" w:ascii="宋体" w:hAnsi="宋体" w:eastAsia="宋体" w:cs="宋体"/>
          <w:color w:val="auto"/>
          <w:sz w:val="24"/>
          <w:szCs w:val="24"/>
          <w:highlight w:val="none"/>
          <w:lang w:eastAsia="zh-CN"/>
        </w:rPr>
        <w:t>成交通知书</w:t>
      </w:r>
      <w:r>
        <w:rPr>
          <w:rFonts w:hint="eastAsia" w:ascii="宋体" w:hAnsi="宋体" w:eastAsia="宋体" w:cs="宋体"/>
          <w:color w:val="auto"/>
          <w:sz w:val="24"/>
          <w:szCs w:val="24"/>
          <w:highlight w:val="none"/>
        </w:rPr>
        <w:t>中的中标价格在协议书内约定。非招标工程的合同价款由发包人承包人依据双方确认的工程预算书在协议书内约定。</w:t>
      </w:r>
    </w:p>
    <w:p w14:paraId="5AA3896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26.2合同价款在协议书内约定后，任何一方不得擅自改变。下列三种确定合同价款的方式，双方可在专用条款内约定采用其中一种：</w:t>
      </w:r>
    </w:p>
    <w:p w14:paraId="19984EB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（1）固定总价合同。合同工期较短且工程合同总价较低的工程，可以采用固定总价合同方式。</w:t>
      </w:r>
    </w:p>
    <w:p w14:paraId="141CBA2F">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（2）固定综合单价合同。一般适用于工程量清单计价项目。双方在专用条款内约定综合单价包含的风险范围，在约定的风险范围内综合单价不再调整。风险范围以外的综合单价调整方法应当在专用条款内约定。</w:t>
      </w:r>
    </w:p>
    <w:p w14:paraId="29600BA1">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（3）可调价格合同。可调价格包括可调综合单价和措施项目费用等，双方应在专用条款内约定综合单价和措施项目费的调整方法。</w:t>
      </w:r>
    </w:p>
    <w:p w14:paraId="5D44C03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27、合同价款调整</w:t>
      </w:r>
    </w:p>
    <w:p w14:paraId="49AD966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27.1价格中工程量、综合单价、措施项目费用的调整因素包括：</w:t>
      </w:r>
    </w:p>
    <w:p w14:paraId="563E052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（1）法律、行政法规和国家有关政策变化影响合同价款；</w:t>
      </w:r>
    </w:p>
    <w:p w14:paraId="3B7F8703">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（2）工程造价管理机构的价格调整；</w:t>
      </w:r>
    </w:p>
    <w:p w14:paraId="2B95D81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（3）经批准的设计变更；</w:t>
      </w:r>
    </w:p>
    <w:p w14:paraId="02ABB010">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（4）发包人更改经审定批准的施工组织设计（修正错误除外）造成费用变化；</w:t>
      </w:r>
    </w:p>
    <w:p w14:paraId="6226D27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（5）工程量清单的工程数量与实际工程量不符，按实际工程量进行调整计算；</w:t>
      </w:r>
    </w:p>
    <w:p w14:paraId="3196E930">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（6）费用索赔事件或发包人负责的其他情况；</w:t>
      </w:r>
    </w:p>
    <w:p w14:paraId="3D0229C1">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（7）双方在专用条款中约定的其他因素。</w:t>
      </w:r>
    </w:p>
    <w:p w14:paraId="6ADA6A0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A4B2331">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28、工程预付款</w:t>
      </w:r>
    </w:p>
    <w:p w14:paraId="313998D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3DBDB4E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28.2安全防护和文明施工措施费应在专用条款中约定预付方式。合同工期在一年以内的，预付比例不得低于总额的70%；合同工期在一年以上的（含一年），预付比例不得低于总额的50%。</w:t>
      </w:r>
    </w:p>
    <w:p w14:paraId="7E7CE751">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29、已完工程量确认</w:t>
      </w:r>
    </w:p>
    <w:p w14:paraId="711F2C9F">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DF5A94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29.2工程师收到承包人报告后14天内未进行计量，从第15天起，承包人报告中开列的工程量即视为被确认，作为工程价款支付的依据。工程师不按约定时间通知承包人，致使承包人未能参加计量，计量结果无效。</w:t>
      </w:r>
    </w:p>
    <w:p w14:paraId="1C7DBA9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29.3对承包人超出设计图纸（含设计变更）范围和因承包人原因造成返工的工程量，工程师不予计量。</w:t>
      </w:r>
    </w:p>
    <w:p w14:paraId="1829C77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30、工程进度款结算与支付</w:t>
      </w:r>
    </w:p>
    <w:p w14:paraId="060EC70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30.1 双方应在专用条款内-约定工程进度款结算支付方式。结算支付方式分为按月结算支付与分阶段结算支付。</w:t>
      </w:r>
    </w:p>
    <w:p w14:paraId="7573D64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30.2在确认计量结果后14天内，发包人应向承包人支付不低于应付款额75%、不高于应付款额90%的工程进度款。按约定时间发包人应扣回的预付款，与工程进度款同期结算抵扣。</w:t>
      </w:r>
    </w:p>
    <w:p w14:paraId="40C6AC91">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30.3本通用条款第27条-确定调整的合同价款，第35条工程变更调整的合同价款及其他条款中约定的追加合同价款，应与工程进度款同期调整支付。</w:t>
      </w:r>
    </w:p>
    <w:p w14:paraId="262E43D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1048630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30.5发包人不按合同约定支付工程进度款，双方又未达成延期付款协议，导致施工无法进行，承包人可停止施工，由发包人承担违约责任。</w:t>
      </w:r>
    </w:p>
    <w:p w14:paraId="700B5A5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七、材料设备供应</w:t>
      </w:r>
    </w:p>
    <w:p w14:paraId="44DD5080">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31、发包人供应材料设备</w:t>
      </w:r>
    </w:p>
    <w:p w14:paraId="163DD7A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31.1实行发包人供应材料设备的，双方应当约定发包人供应材料设备的一览表，作为本合同附件（附件2）。一览表包括发包人供应材料设备的品种、规格、型号、数量、单价、质量等级、提供时间和地点。</w:t>
      </w:r>
    </w:p>
    <w:p w14:paraId="5BEC2A50">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31.2发包人按一览表约定的内容提供材料设备，并向承包人提供产品合格证明，对其质量负责。发包人在所供材料设备到货前24小时，以书面形式通知承包人，由承包人派人与发包人共同清点。</w:t>
      </w:r>
    </w:p>
    <w:p w14:paraId="5D32BD6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20A233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31.4发包人供应的材料设备与一览表不符时，发包人承担有关责任。发包人应承担责任的具体内容，双方根据下列情况在专用条款内约定：</w:t>
      </w:r>
    </w:p>
    <w:p w14:paraId="4866B4B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（1）材料设备单价与一览表不符，由发包人承担所有价差；</w:t>
      </w:r>
    </w:p>
    <w:p w14:paraId="7DC0A81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（2）材料设备的品种、规格、型号、质量等级与一览表不符，承包人可拒绝接收保管，由发包人运出施工场地并重新采购；</w:t>
      </w:r>
    </w:p>
    <w:p w14:paraId="0F35B1C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（3）发包人供应的材料规格、型号与一览表不符，经发包人同意，承包人可代为调剂串换，由发包人承担相应费用；</w:t>
      </w:r>
    </w:p>
    <w:p w14:paraId="01D8B2F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（4）到货地点与一览表不符，由发包人负责运至一览表指定地点；</w:t>
      </w:r>
    </w:p>
    <w:p w14:paraId="25C0B86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（5）供应数量少于一览表约定的数量时，由发包人补齐，多于一览表约定数量时，发包人负责将多出部分运出施工场地；</w:t>
      </w:r>
    </w:p>
    <w:p w14:paraId="4DF75FB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（6）到货时间早于一览表约定时间，由发包人承担因此发生的保管费用；到货时间迟于一览表约定的供应时间，发包人赔偿由此造成的承包人损失，造成工期延误的，相应顺延工期；</w:t>
      </w:r>
    </w:p>
    <w:p w14:paraId="1FD9159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31.5发包人供应的材料设备使用前，由承包人负责检验或试验，不合格的不得使用，检验或试验费用由发包人承担。</w:t>
      </w:r>
    </w:p>
    <w:p w14:paraId="2727717F">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31.6发包人供应材料设备的结算方法，双方在--专用条款内约定。</w:t>
      </w:r>
    </w:p>
    <w:p w14:paraId="5D3103E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32、承包人采购材料设备</w:t>
      </w:r>
    </w:p>
    <w:p w14:paraId="155E421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32.1承包人负责采购材料设备的，应按照专用条款约定及设计和有关标准要求采购，并提供产品合格证明，对材料设备质量负责。承包人在材料设备到货前24小时通知工程师清点。</w:t>
      </w:r>
    </w:p>
    <w:p w14:paraId="7A1D873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32.2承包人采购的材料设备与设计标准要求不符时，承包人应按工程师要求的时间运出施工场地，重新采购符合要求的产品，承担由此发生的费用，由此延误的工期不予顺延。</w:t>
      </w:r>
    </w:p>
    <w:p w14:paraId="123758E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32.3承包人采购的材料设备在使用前，承包人应按工程师的要求进行检验或试验，不合格的不得使用，检验或试验费用由承包人承担。</w:t>
      </w:r>
    </w:p>
    <w:p w14:paraId="4C6A3A3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32.4工程师发现承包人采购并使用不符合设计和标准要求的材料设备时，应要求承包人负责修复、拆除或重新采购，由承包人承担发生的费用，由此延误的工期不予顺延。</w:t>
      </w:r>
    </w:p>
    <w:p w14:paraId="3B9398C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32.5承包人需要使用代用材料时，应经工程师认可后才能使用，由此增减的合同价款双方以书面形式议定。</w:t>
      </w:r>
    </w:p>
    <w:p w14:paraId="104392B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32.6由承包人采购的材料设备，发包人不得指定生产厂或供应商。</w:t>
      </w:r>
    </w:p>
    <w:p w14:paraId="373F51D3">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八、工程变更</w:t>
      </w:r>
    </w:p>
    <w:p w14:paraId="02D1D11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33、工程设计变更</w:t>
      </w:r>
    </w:p>
    <w:p w14:paraId="3DD5134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4C6D9EF">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（1）更改工程有关部分的标高、基线、位置和尺寸；</w:t>
      </w:r>
    </w:p>
    <w:p w14:paraId="066F280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（2）增减合同中约定的工程量；</w:t>
      </w:r>
    </w:p>
    <w:p w14:paraId="0337B9A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（3）改变有关工程的施工时间和顺序；</w:t>
      </w:r>
    </w:p>
    <w:p w14:paraId="5CD346A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（4）其他有关工程变更需要的附加工作。</w:t>
      </w:r>
    </w:p>
    <w:p w14:paraId="12DEED7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因变更导致合同价款的增减及造成的承包人损失，由发包人承担，延误的工期相应顺延。</w:t>
      </w:r>
    </w:p>
    <w:p w14:paraId="676DAF5F">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33.2施工中承包人不得对原工程设计进行变更。因承包人擅自变更设计发生的费用和由此导致发包人的直接损失，由承包人承担，延误的工期不予顺延。</w:t>
      </w:r>
    </w:p>
    <w:p w14:paraId="2809443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480CC15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34、其他变更</w:t>
      </w:r>
    </w:p>
    <w:p w14:paraId="25F0D110">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合同履行中发包人要求变更工程质量标准及发生其他实质性变更，由双方协商解决。</w:t>
      </w:r>
    </w:p>
    <w:p w14:paraId="1C90335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35、确定变更价款</w:t>
      </w:r>
    </w:p>
    <w:p w14:paraId="010D166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35.1承包人在工程变更确定后14天内，提出变更工程价款的报告，经工程师确认后调整合同价款。变更合同价款按下列方法进行：</w:t>
      </w:r>
    </w:p>
    <w:p w14:paraId="26DF40C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（1）合同中已有适用于变更工程的综合单价或价格，按合同已有的综合单价或价格变更合同价款；</w:t>
      </w:r>
    </w:p>
    <w:p w14:paraId="5F0BA48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（2）合同中只有类似于变更工程的综合单价或价格，可以参照类似综合单价或价格变更合同价款；</w:t>
      </w:r>
    </w:p>
    <w:p w14:paraId="1CD91CB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（3）合同中没有适用或类似于变更工程的综合单价或价格，由承包人或发包人提出综合单价或价格，经双方确认后执行。</w:t>
      </w:r>
    </w:p>
    <w:p w14:paraId="1A4D379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35.2承包人在双方确定变更后14天内应向工程师提出变更工程价款报告，否则发包人可根据所掌握的资料决定是否调整合同价款和调整的具体金额，并书面通知承包人。</w:t>
      </w:r>
    </w:p>
    <w:p w14:paraId="5912EA7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35.3工程师应在收到变更工程价款报告之日起14天内予以确认，工程师无正当理由不确认也未提出协商意见时，自变更工程价款报告送达之日起14天后视为变更工程价款报告已被确认。</w:t>
      </w:r>
    </w:p>
    <w:p w14:paraId="0E12A78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35.4发承包双方对变更价款不能达成一致时，按本通用条款第41条关于争议的约定处理。</w:t>
      </w:r>
    </w:p>
    <w:p w14:paraId="1557D03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35.5因承包人自身原因导致的工程变更，承包人无权要求追加合同价款。</w:t>
      </w:r>
    </w:p>
    <w:p w14:paraId="3A29BBC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九、竣工验收与结算</w:t>
      </w:r>
    </w:p>
    <w:p w14:paraId="529E25E0">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36、竣工验收</w:t>
      </w:r>
    </w:p>
    <w:p w14:paraId="2BC6226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36.1工程具备竣工验收条件，承包人按国家工程竣工验收有关规定，向发包人提供完整竣工资料及竣工验收报告。双方约定由承包人提供竣工图的，应当在专用条款内约定提供的日期和份数。</w:t>
      </w:r>
    </w:p>
    <w:p w14:paraId="78A06D0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36.2发包人收到竣工验收报告后28天内组织有关单位验收，并在验收后14天内给予认可或提出修改意见。承包人按要求修改，并承担由自身原因造成修改的费用。</w:t>
      </w:r>
    </w:p>
    <w:p w14:paraId="54010B1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36.3发包人收到承包人送交的竣工验收报告后28天内不组织验收，或验收后14天内不提出修改意见，视为竣工验收报告已被认可。</w:t>
      </w:r>
    </w:p>
    <w:p w14:paraId="76FE59D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36.4工程竣工验收通过，承包人送交竣工验收报告的日期为实际竣工日期。工程按发包人要求修改后通过竣工验收的，实际竣工日期为承包人修改后提请发包人验收的日期。</w:t>
      </w:r>
    </w:p>
    <w:p w14:paraId="38AACAB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36.5发包人收到承包人竣工验收报告后28天内不组织验收，从第29天起承担工程保管及一切意外责任。</w:t>
      </w:r>
    </w:p>
    <w:p w14:paraId="3232D7C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36.6中间交工工程的范围和竣工时间，双方在专用条款内约定，其验收程序按本通用条款36.1款至36.4款办理。</w:t>
      </w:r>
    </w:p>
    <w:p w14:paraId="72D116F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36.7因特殊原因，发包人要求部分单位工程或工程部位甩项竣工的，双方另行签订甩项竣工协议，明确双方责任和工程价款的支付方法。</w:t>
      </w:r>
    </w:p>
    <w:p w14:paraId="752B411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36.8工程未经竣工验收或竣工验收未通过的，发包人不得使用。发包人强行使用时，由此发生的质量及其他问题，由发包人承担责任。</w:t>
      </w:r>
    </w:p>
    <w:p w14:paraId="6F22146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37、竣工结算</w:t>
      </w:r>
    </w:p>
    <w:p w14:paraId="0A5C1E9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37.1工程竣工结算分为单位工程竣工结算、单项工程竣工结算和建设项目竣工总结算。</w:t>
      </w:r>
    </w:p>
    <w:p w14:paraId="6BDCCA4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438BFA6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建设项目总结算在最后一个单项工程竣工结算审查确认后，一般在15天以内向发包人提交竣工结算汇总资料。</w:t>
      </w:r>
    </w:p>
    <w:p w14:paraId="5D18BA5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7A29707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37.4承包人收到竣工结算价款后14天内将竣工工程交付发包人。</w:t>
      </w:r>
    </w:p>
    <w:p w14:paraId="53E5C36F">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37.5发包人收到承包人建设项目竣工总结算汇总资料后30天内，审查完成。</w:t>
      </w:r>
    </w:p>
    <w:p w14:paraId="5866A65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37.6发包人收到竣工结算报告及结算资料后，在本条规定期限内对结算报告及资料没有提出意见则视同认可。</w:t>
      </w:r>
    </w:p>
    <w:p w14:paraId="419C308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0AD493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4424E60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37.9发包人承包人对工程竣工结算价款发生争议时，按本通用条款第41条关于争议的约定处理。</w:t>
      </w:r>
    </w:p>
    <w:p w14:paraId="4ED3E6D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38、质量保证</w:t>
      </w:r>
    </w:p>
    <w:p w14:paraId="1203420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38.1承包人应按法律、行政法规或国家关于工程质量保修的有关规定，对交付发包人使用的工程在质量保修期内承担质量保修责任。</w:t>
      </w:r>
    </w:p>
    <w:p w14:paraId="6AAD1A11">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38.2质量保修工作的实施。承包人与发包人签订质量保修书，作为本合同附件（附件３）。发包人应明确保证金预留、返还等内容，并与承包人在合同条款中对涉及保证金的下列事项进行约定：</w:t>
      </w:r>
    </w:p>
    <w:p w14:paraId="58D9017D">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（1）保证金预留、返还方式；</w:t>
      </w:r>
    </w:p>
    <w:p w14:paraId="7C757FEE">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（2）保证金预留比例、期限；</w:t>
      </w:r>
    </w:p>
    <w:p w14:paraId="17B516C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（3）保证金是否计付利息，如计利息，利息的计算方式；</w:t>
      </w:r>
    </w:p>
    <w:p w14:paraId="7DB4690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（4）缺陷责任期的期限及计算方式；</w:t>
      </w:r>
    </w:p>
    <w:p w14:paraId="56E3E8D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（5）保证金预留、返还及工程维修质量、费用等争议的处理程序；</w:t>
      </w:r>
    </w:p>
    <w:p w14:paraId="051E0D21">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（6）缺陷责任期内出现缺陷的索赔方式。</w:t>
      </w:r>
    </w:p>
    <w:p w14:paraId="10E9F971">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38.3质量保修书的主要内容包括：</w:t>
      </w:r>
    </w:p>
    <w:p w14:paraId="1443DBC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（1）质量保修项目内容及范围；</w:t>
      </w:r>
    </w:p>
    <w:p w14:paraId="5A6B4C5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（2）质量保修期；</w:t>
      </w:r>
    </w:p>
    <w:p w14:paraId="0AEC76D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（3）质量保修责任；</w:t>
      </w:r>
    </w:p>
    <w:p w14:paraId="71040783">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（4）质量保修金的支付方法。</w:t>
      </w:r>
    </w:p>
    <w:p w14:paraId="29B77CF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38.4质量保证金按工程价款结算总额5%以内的比例预留。</w:t>
      </w:r>
    </w:p>
    <w:p w14:paraId="18D21CD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十、违约、索赔和争议</w:t>
      </w:r>
    </w:p>
    <w:p w14:paraId="2814131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39、违约</w:t>
      </w:r>
    </w:p>
    <w:p w14:paraId="67B6662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39.1发包人违约。当发生下列情况时：</w:t>
      </w:r>
    </w:p>
    <w:p w14:paraId="0C97442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（1）本通用条款第28.1款提到的发包人不按时支付工程预付款；</w:t>
      </w:r>
    </w:p>
    <w:p w14:paraId="247FEB5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（2）本通用条款第30.5款提到的发包人不按合同约定支付工程款，导致施工无法进行；</w:t>
      </w:r>
    </w:p>
    <w:p w14:paraId="02C0FDC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（3）本通用条款第37.6款提到的发包人无正当理由不支付工程竣工结算价款；</w:t>
      </w:r>
    </w:p>
    <w:p w14:paraId="0C4391BF">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（4）发包人不履行合同义务或不按合同约定履行义务的其他情况。</w:t>
      </w:r>
    </w:p>
    <w:p w14:paraId="372CB0D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发包人承担违约责任，赔偿因其违约给承包人造成的经济损失，顺延延误的工期。双方在专用条款内约定发包人赔偿承包人损失的计算方法或者发包人应当支付违约金的数额和计算方法。</w:t>
      </w:r>
    </w:p>
    <w:p w14:paraId="011FCDE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39.2承包人违约。当发生下列情况时：</w:t>
      </w:r>
    </w:p>
    <w:p w14:paraId="154EECC0">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（1）本通用条款第14.2款提到的因承包人原因不能按照协议书约定的竣工日期或工程师同意顺延的工期竣工；</w:t>
      </w:r>
    </w:p>
    <w:p w14:paraId="068AD5F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（2）本通用条款第15.1款提到的因承包人原因工程质量达不到协议书约定的质量标准；</w:t>
      </w:r>
    </w:p>
    <w:p w14:paraId="613D54B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（3）承包人不履行合同义务或不按合同约定履行义务的其他情况。</w:t>
      </w:r>
    </w:p>
    <w:p w14:paraId="5303C6B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承包人承担违约责任，赔偿因其违约给发包人造成的损失。双方在专用条款内约定承包人赔偿发包人损失的计算方法或者承包人应当支付违约金的数额和计算方法。</w:t>
      </w:r>
    </w:p>
    <w:p w14:paraId="057DE77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39.3一方违约后，另一方要求违约方继续履行合同时，违约方承担上述违约责任后仍应继续履行合同。</w:t>
      </w:r>
    </w:p>
    <w:p w14:paraId="1871929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40、索赔</w:t>
      </w:r>
    </w:p>
    <w:p w14:paraId="31F3245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40.1当一方向另一方提出索赔时，要有正当索赔理由，且有索赔事件发生时的有效证据。</w:t>
      </w:r>
    </w:p>
    <w:p w14:paraId="310EB3F3">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8894BCF">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（1）索赔事件发生后28天内，向工程师发出索赔意向通知；</w:t>
      </w:r>
    </w:p>
    <w:p w14:paraId="5136081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（2）发出索赔意向通知后28天内，向工程师提出延长工期和（或）补偿经济损失的索赔报告及有关资料；</w:t>
      </w:r>
    </w:p>
    <w:p w14:paraId="79FBE463">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（3）工程师在收到承包人送交的索赔报告和有关资料后，于28天内给予答复，或要求承包人进一步补充索赔理由和证据；</w:t>
      </w:r>
    </w:p>
    <w:p w14:paraId="4A04446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（4）工程师在收到承包人送交的索赔报告和有关资料后28天内未予答复或未对承包人作进一步要求，视为该项索赔已经认可；</w:t>
      </w:r>
    </w:p>
    <w:p w14:paraId="02DB619F">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（5）当该索赔事件持续进行时，承包人应当阶段性向工程师发出索赔意向，在索赔事件终了后28天内，向工程师送交索赔的有关资料和最终索赔报告。索赔答复程序与（3）、（4）规定相同。</w:t>
      </w:r>
    </w:p>
    <w:p w14:paraId="263B53C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40.3承包人未能按合同约定履行自己的各项义务或发生错误，给发包人造成经济损失，发包人可按40.2款确定的时限向承包人提出索赔。</w:t>
      </w:r>
    </w:p>
    <w:p w14:paraId="34B9206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41、争议</w:t>
      </w:r>
    </w:p>
    <w:p w14:paraId="79CABF2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5C31F023">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41.2发生争议后，除非出现下列情况的，双方都应继续履行合同，保持施工连续，保护好已完工程：</w:t>
      </w:r>
    </w:p>
    <w:p w14:paraId="08406851">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（1）单方违约导致合同确已无法履行，双方协议停止施工；</w:t>
      </w:r>
    </w:p>
    <w:p w14:paraId="56C8055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（2）调解要求停止施工，且为双方接受；</w:t>
      </w:r>
    </w:p>
    <w:p w14:paraId="176BD28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（3）仲裁机构要求停止施工；</w:t>
      </w:r>
    </w:p>
    <w:p w14:paraId="05361483">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（4）法院要求停止施工。</w:t>
      </w:r>
    </w:p>
    <w:p w14:paraId="20CAA09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十一、其他</w:t>
      </w:r>
    </w:p>
    <w:p w14:paraId="4A722BE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42、工程分包</w:t>
      </w:r>
    </w:p>
    <w:p w14:paraId="6032DCC9">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42.1承包人需要将专业工程或劳务进行分包的，应分包给具有相应资质的专业或劳务企业，并与分包企业签订分包合同。</w:t>
      </w:r>
    </w:p>
    <w:p w14:paraId="126E789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42.2承包人不得将其承包的工程转包给他人，也不得将其承包的工程以分包的名义转包给他人。</w:t>
      </w:r>
    </w:p>
    <w:p w14:paraId="56A6AB5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42.3工程分包不能解除承包人任何责任与义务。承包人应在分包场地派驻相应管理人员，保证本合同的履行。分包单位的任何违约行为或疏忽导致工程损害或给发包人造成其他损失，承包人承担连带责任。</w:t>
      </w:r>
    </w:p>
    <w:p w14:paraId="488E9713">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42.4分包工程价款由承包人与分包单位结算。发包人未经承包人同意不得以任何形式向分包单位支付各种工程款项。</w:t>
      </w:r>
    </w:p>
    <w:p w14:paraId="47714E2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42.5承包人应按时支付分包工程款及劳务费。若承包人不能按时支付时，发包人可将此部分款项从向承包人支付的工程款中扣出并直接支付给分包人和劳务人员。</w:t>
      </w:r>
    </w:p>
    <w:p w14:paraId="393F2D1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43、不可抗力</w:t>
      </w:r>
    </w:p>
    <w:p w14:paraId="5096AFE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43.1不可抗力包括因战争、动乱、空中飞行物体坠落或其他非发包人承包人责任造成的爆炸、火灾，以及专用条款约定的风、雨、雪、洪、震等自然灾害。</w:t>
      </w:r>
    </w:p>
    <w:p w14:paraId="26B482E3">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A411FB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43.3因不可抗力事件导致的费用及延误的工期由双方按以下方法分别承担：</w:t>
      </w:r>
    </w:p>
    <w:p w14:paraId="0C64776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（1）工程本身的损害、因工程损害导致第三人人员伤亡和财产损失以及运至施工场地用于施工的材料和待安装的设备的损害，由发包人承担；</w:t>
      </w:r>
    </w:p>
    <w:p w14:paraId="77ABC2E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（2）发包人承包人人员伤亡由其所在单位负责，并承担相应费用；</w:t>
      </w:r>
    </w:p>
    <w:p w14:paraId="0FCBA6C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（3）承包人机械设备损坏及停工损失，由承包人承担；</w:t>
      </w:r>
    </w:p>
    <w:p w14:paraId="1DC3DE47">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（4）停工期间，承包人应工程师要求留在施工场地的必要的管理人员及保卫人员的费用由发包人承担；</w:t>
      </w:r>
    </w:p>
    <w:p w14:paraId="18C62AEE">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（5）工程所需清理、修复费用，由发包人承担；</w:t>
      </w:r>
    </w:p>
    <w:p w14:paraId="462A57E4">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（6）延误的工期相应顺延。</w:t>
      </w:r>
    </w:p>
    <w:p w14:paraId="45744D7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43.4因合同一方迟延履行合同后发生不可抗力的，不能免除迟延履行方的相应责任。</w:t>
      </w:r>
    </w:p>
    <w:p w14:paraId="41BB327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Cs/>
          <w:color w:val="auto"/>
          <w:sz w:val="24"/>
          <w:szCs w:val="24"/>
          <w:highlight w:val="none"/>
        </w:rPr>
        <w:t>44、保险</w:t>
      </w:r>
    </w:p>
    <w:p w14:paraId="16A7360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44.1工程开工前，发包人为建设工程和施工现场内的自有人员及第三人人员生命财产办理保险，支付保险费用。</w:t>
      </w:r>
    </w:p>
    <w:p w14:paraId="3F26303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44.2发包人供应的运至施工场地内用于工程的材料设备，由发包人办理保险，并支付保险费用。</w:t>
      </w:r>
    </w:p>
    <w:p w14:paraId="5617B0F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44.3发包人可以将有关保险事项委托承包人办理，费用由发包人承担。</w:t>
      </w:r>
    </w:p>
    <w:p w14:paraId="68F276B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44.4承包人必须为施工场地内施工人员办理意外伤害保险和工伤保险，并为施工场地内的施工机械设备办理财产保险，支付保险费用。</w:t>
      </w:r>
    </w:p>
    <w:p w14:paraId="4313AD31">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44.5保险事故发生时，发包人承包人有责任尽力采取必要的措施，防止或者减少损失。</w:t>
      </w:r>
    </w:p>
    <w:p w14:paraId="15D2708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44.6具体投保内容和相关责任，发包人承包人在专用条款中约定。</w:t>
      </w:r>
    </w:p>
    <w:p w14:paraId="2C5D264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45、担保</w:t>
      </w:r>
    </w:p>
    <w:p w14:paraId="3A4F66D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45.1发包人承包人为了全面履行合同，应互相提供以下担保：</w:t>
      </w:r>
    </w:p>
    <w:p w14:paraId="121EDDC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（1）发包人向承包人提供支付担保，按合同约定支付工程价款及履行合同约定的其他义务。</w:t>
      </w:r>
    </w:p>
    <w:p w14:paraId="243507D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（2）承包人向发包人提供履约担保，按合同约定履行自己的各项义务。</w:t>
      </w:r>
    </w:p>
    <w:p w14:paraId="08F67110">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45.2一方违约后，另一方可要求提供担保的第三人承担相应责任。</w:t>
      </w:r>
    </w:p>
    <w:p w14:paraId="0D9EE218">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45.3提供担保的内容、方式和相关责任，发包人承包人除在专用条款中约定外，被担保方与担保方还应签订担保合同，作为本合同附件。</w:t>
      </w:r>
    </w:p>
    <w:p w14:paraId="1C6A6E5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46、专利技术及特殊工艺</w:t>
      </w:r>
    </w:p>
    <w:p w14:paraId="4DE80E73">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46.1发包人要求使用专利技术或特殊工艺，应负责办理相应的申报手续，承担申报、试验、使用等费用；承包人提出使用专利技术或特殊工艺，应取得工程师认可，承包人负责办理申报手续并承担有关费用。</w:t>
      </w:r>
    </w:p>
    <w:p w14:paraId="2E48BDE1">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46.2擅自使用专利技术侵犯他人专利权的，责任者依法承担相应责任。</w:t>
      </w:r>
    </w:p>
    <w:p w14:paraId="7BBEA1FF">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47、文物和地下障碍物</w:t>
      </w:r>
    </w:p>
    <w:p w14:paraId="6BF7DFF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76BB48F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如发现后隐瞒不报，致使文物遭受破坏，责任者依法承担相应责任。</w:t>
      </w:r>
    </w:p>
    <w:p w14:paraId="076A22E2">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22271DA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所发现的地下障碍物有归属单位时，发包人应报请有关部门协同处置。</w:t>
      </w:r>
    </w:p>
    <w:p w14:paraId="7472CF6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48、合同解除</w:t>
      </w:r>
    </w:p>
    <w:p w14:paraId="3FB34F95">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48.1发包人承包人协商一致，可以解除合同。</w:t>
      </w:r>
    </w:p>
    <w:p w14:paraId="6B9FDCC3">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48.2发生本通用条款第30.5款情况，停止施工超过56天，发包人仍不支付工程款（进度款），承包人有权解除合同。</w:t>
      </w:r>
    </w:p>
    <w:p w14:paraId="48BC4A1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48.3发生本通用条款第42.2款禁止的情况，发包人有权解除合同。</w:t>
      </w:r>
    </w:p>
    <w:p w14:paraId="2D204DE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48.4有下列情形之一的，发包人承包人可以解除合同：</w:t>
      </w:r>
    </w:p>
    <w:p w14:paraId="0C99B93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（1）因不可抗力致使合同无法履行；</w:t>
      </w:r>
    </w:p>
    <w:p w14:paraId="16639B60">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（2）因一方违约（包括因发包人原因造成工程停建或缓建）致使合同无法履行。</w:t>
      </w:r>
    </w:p>
    <w:p w14:paraId="38943EA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48.5一方依据48.2、48.3、48.4款约定要求解除合同的，应以书面形式向对方发出解除合同的通知，并在发出通知前7天告知对方，通知到达对方时合同解除。对解除合同有争议的，按本通用条款第41条关于争议的约定处理。</w:t>
      </w:r>
    </w:p>
    <w:p w14:paraId="463627BD">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2F6C90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48.7合同解除后，不影响双方在合同中约定的结算和清理条款的效力。</w:t>
      </w:r>
    </w:p>
    <w:p w14:paraId="1FAB3B2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49、合同生效与终止</w:t>
      </w:r>
    </w:p>
    <w:p w14:paraId="1936FC1E">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49.1双方在协议书中约定合同生效方式。</w:t>
      </w:r>
    </w:p>
    <w:p w14:paraId="0A3E8BE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49.2除本通用条款第38条外，发包人承包人履行合同全部义务，竣工结算价款支付完毕，承包人向发包人交付竣工工程后，本合同即告终止。</w:t>
      </w:r>
    </w:p>
    <w:p w14:paraId="067249FB">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49.3合同的权利义务终止后，发包人承包人应当遵循诚实信用原则，履行通知、协助、保密等义务。</w:t>
      </w:r>
    </w:p>
    <w:p w14:paraId="56073564">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50、合同份数</w:t>
      </w:r>
    </w:p>
    <w:p w14:paraId="252663EC">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50.1本合同正本两份，具有同等效力，由发包人承包人分别保存一份。</w:t>
      </w:r>
    </w:p>
    <w:p w14:paraId="78ADFA5A">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50.2本合同副本份数，由双方根据需要在专用条款内约定。</w:t>
      </w:r>
    </w:p>
    <w:p w14:paraId="497F5DF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51、补充条款</w:t>
      </w:r>
    </w:p>
    <w:p w14:paraId="4C793977">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双方根据有关法律、行政法规规定，结合工程实际经协商一致后，可对本通用条款内容具体化、补充或修改，在专用条款内约定。</w:t>
      </w:r>
    </w:p>
    <w:p w14:paraId="3B31FBCA">
      <w:pPr>
        <w:keepNext w:val="0"/>
        <w:keepLines w:val="0"/>
        <w:pageBreakBefore w:val="0"/>
        <w:kinsoku/>
        <w:wordWrap/>
        <w:overflowPunct/>
        <w:topLinePunct w:val="0"/>
        <w:bidi w:val="0"/>
        <w:spacing w:line="360" w:lineRule="auto"/>
        <w:jc w:val="center"/>
        <w:textAlignment w:val="auto"/>
        <w:rPr>
          <w:rFonts w:hint="eastAsia" w:ascii="宋体" w:hAnsi="宋体"/>
          <w:bCs/>
          <w:color w:val="auto"/>
          <w:kern w:val="0"/>
          <w:sz w:val="36"/>
          <w:szCs w:val="36"/>
          <w:highlight w:val="none"/>
        </w:rPr>
      </w:pPr>
      <w:bookmarkStart w:id="3" w:name="_Toc48509785"/>
      <w:bookmarkEnd w:id="3"/>
      <w:r>
        <w:rPr>
          <w:rFonts w:hint="eastAsia" w:ascii="宋体" w:hAnsi="宋体"/>
          <w:bCs/>
          <w:color w:val="auto"/>
          <w:kern w:val="0"/>
          <w:sz w:val="36"/>
          <w:szCs w:val="36"/>
          <w:highlight w:val="none"/>
        </w:rPr>
        <w:t>第三部分  专用合同条款</w:t>
      </w:r>
    </w:p>
    <w:p w14:paraId="3D4742ED">
      <w:pPr>
        <w:keepNext w:val="0"/>
        <w:keepLines w:val="0"/>
        <w:pageBreakBefore w:val="0"/>
        <w:widowControl/>
        <w:kinsoku/>
        <w:wordWrap/>
        <w:overflowPunct/>
        <w:topLinePunct w:val="0"/>
        <w:bidi w:val="0"/>
        <w:spacing w:line="360" w:lineRule="auto"/>
        <w:ind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一、词语定义及合同文件</w:t>
      </w:r>
    </w:p>
    <w:p w14:paraId="713D2C19">
      <w:pPr>
        <w:keepNext w:val="0"/>
        <w:keepLines w:val="0"/>
        <w:pageBreakBefore w:val="0"/>
        <w:widowControl/>
        <w:kinsoku/>
        <w:wordWrap/>
        <w:overflowPunct/>
        <w:topLinePunct w:val="0"/>
        <w:bidi w:val="0"/>
        <w:spacing w:line="360" w:lineRule="auto"/>
        <w:ind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2、合同文件及解释顺序</w:t>
      </w:r>
    </w:p>
    <w:p w14:paraId="3DCBCB33">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合同文件组成及解释顺序：</w:t>
      </w:r>
      <w:r>
        <w:rPr>
          <w:rFonts w:hint="eastAsia" w:ascii="宋体" w:hAnsi="宋体" w:eastAsia="宋体" w:cs="宋体"/>
          <w:color w:val="auto"/>
          <w:sz w:val="24"/>
          <w:szCs w:val="24"/>
          <w:highlight w:val="none"/>
          <w:u w:val="single"/>
        </w:rPr>
        <w:t>① 本合同协议书；② 本合同专用条款；③本合同通用条款；④</w:t>
      </w:r>
      <w:r>
        <w:rPr>
          <w:rFonts w:hint="eastAsia" w:ascii="宋体" w:hAnsi="宋体" w:eastAsia="宋体" w:cs="宋体"/>
          <w:color w:val="auto"/>
          <w:sz w:val="24"/>
          <w:szCs w:val="24"/>
          <w:highlight w:val="none"/>
          <w:u w:val="single"/>
          <w:lang w:eastAsia="zh-CN"/>
        </w:rPr>
        <w:t>成交通知书</w:t>
      </w:r>
      <w:r>
        <w:rPr>
          <w:rFonts w:hint="eastAsia" w:ascii="宋体" w:hAnsi="宋体" w:eastAsia="宋体" w:cs="宋体"/>
          <w:color w:val="auto"/>
          <w:sz w:val="24"/>
          <w:szCs w:val="24"/>
          <w:highlight w:val="none"/>
          <w:u w:val="single"/>
        </w:rPr>
        <w:t>；⑤</w:t>
      </w:r>
      <w:r>
        <w:rPr>
          <w:rFonts w:hint="eastAsia" w:ascii="宋体" w:hAnsi="宋体" w:eastAsia="宋体" w:cs="宋体"/>
          <w:color w:val="auto"/>
          <w:sz w:val="24"/>
          <w:szCs w:val="24"/>
          <w:highlight w:val="none"/>
          <w:u w:val="single"/>
          <w:lang w:eastAsia="zh-CN"/>
        </w:rPr>
        <w:t>响应文件</w:t>
      </w:r>
      <w:r>
        <w:rPr>
          <w:rFonts w:hint="eastAsia" w:ascii="宋体" w:hAnsi="宋体" w:eastAsia="宋体" w:cs="宋体"/>
          <w:color w:val="auto"/>
          <w:sz w:val="24"/>
          <w:szCs w:val="24"/>
          <w:highlight w:val="none"/>
          <w:u w:val="single"/>
        </w:rPr>
        <w:t>；⑥</w:t>
      </w:r>
      <w:r>
        <w:rPr>
          <w:rFonts w:hint="eastAsia" w:ascii="宋体" w:hAnsi="宋体" w:eastAsia="宋体" w:cs="宋体"/>
          <w:color w:val="auto"/>
          <w:sz w:val="24"/>
          <w:szCs w:val="24"/>
          <w:highlight w:val="none"/>
          <w:u w:val="single"/>
          <w:lang w:eastAsia="zh-CN"/>
        </w:rPr>
        <w:t>竞争性磋商文件</w:t>
      </w:r>
      <w:r>
        <w:rPr>
          <w:rFonts w:hint="eastAsia" w:ascii="宋体" w:hAnsi="宋体" w:eastAsia="宋体" w:cs="宋体"/>
          <w:color w:val="auto"/>
          <w:sz w:val="24"/>
          <w:szCs w:val="24"/>
          <w:highlight w:val="none"/>
          <w:u w:val="single"/>
        </w:rPr>
        <w:t>；⑦图纸；⑧标准、规范及有关技术文件。合同履行中，发包人承包人有关工程的洽商、变更等书面协议或文件视为本合同的组成部分。</w:t>
      </w:r>
    </w:p>
    <w:p w14:paraId="1B238F10">
      <w:pPr>
        <w:keepNext w:val="0"/>
        <w:keepLines w:val="0"/>
        <w:pageBreakBefore w:val="0"/>
        <w:widowControl/>
        <w:kinsoku/>
        <w:wordWrap/>
        <w:overflowPunct/>
        <w:topLinePunct w:val="0"/>
        <w:bidi w:val="0"/>
        <w:spacing w:line="360" w:lineRule="auto"/>
        <w:ind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3、语言文字和适用法律、标准及规范</w:t>
      </w:r>
    </w:p>
    <w:p w14:paraId="1F981EC7">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3.1本合同除使用汉语外，还使用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语言文字。</w:t>
      </w:r>
    </w:p>
    <w:p w14:paraId="6CD93A23">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3.2适用法律和法规</w:t>
      </w:r>
    </w:p>
    <w:p w14:paraId="6AA3FBBB">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需要明示的法律、行政法规：</w:t>
      </w:r>
      <w:r>
        <w:rPr>
          <w:rFonts w:hint="eastAsia" w:ascii="宋体" w:hAnsi="宋体" w:eastAsia="宋体" w:cs="宋体"/>
          <w:color w:val="auto"/>
          <w:sz w:val="24"/>
          <w:szCs w:val="24"/>
          <w:highlight w:val="none"/>
          <w:u w:val="single"/>
        </w:rPr>
        <w:t>《中华人民共和国民法典》、《中华人民共和国建筑法》、《建设工程质量管理条例》、《建设工程安全生产管理条例》、《建筑与市政工程施工质量控制通用规范》、《建筑工程质量保修办法》及陕西省的地方法规、政策性文件等</w:t>
      </w:r>
      <w:r>
        <w:rPr>
          <w:rFonts w:hint="eastAsia" w:ascii="宋体" w:hAnsi="宋体" w:eastAsia="宋体" w:cs="宋体"/>
          <w:color w:val="auto"/>
          <w:sz w:val="24"/>
          <w:szCs w:val="24"/>
          <w:highlight w:val="none"/>
          <w:u w:val="none"/>
        </w:rPr>
        <w:t>。</w:t>
      </w:r>
    </w:p>
    <w:p w14:paraId="74E45A4E">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3.3适用标准、规范</w:t>
      </w:r>
    </w:p>
    <w:p w14:paraId="5995C14E">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适用标准、规范的名称：</w:t>
      </w:r>
      <w:r>
        <w:rPr>
          <w:rFonts w:hint="eastAsia" w:ascii="宋体" w:hAnsi="宋体" w:eastAsia="宋体" w:cs="宋体"/>
          <w:color w:val="auto"/>
          <w:sz w:val="24"/>
          <w:szCs w:val="24"/>
          <w:highlight w:val="none"/>
          <w:u w:val="single"/>
        </w:rPr>
        <w:t>执行国家相关工程施工及验收规范标准以及材料、设备所涉及的现行国家、省、市或行业的工程建设标准、规范的要求</w:t>
      </w:r>
      <w:r>
        <w:rPr>
          <w:rFonts w:hint="eastAsia" w:ascii="宋体" w:hAnsi="宋体" w:eastAsia="宋体" w:cs="宋体"/>
          <w:color w:val="auto"/>
          <w:sz w:val="24"/>
          <w:szCs w:val="24"/>
          <w:highlight w:val="none"/>
          <w:u w:val="single"/>
        </w:rPr>
        <w:t>。</w:t>
      </w:r>
    </w:p>
    <w:p w14:paraId="218EE6FD">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发包人提供标准、规范的时间：</w:t>
      </w:r>
      <w:r>
        <w:rPr>
          <w:rFonts w:hint="eastAsia" w:ascii="宋体" w:hAnsi="宋体" w:eastAsia="宋体" w:cs="宋体"/>
          <w:color w:val="auto"/>
          <w:sz w:val="24"/>
          <w:szCs w:val="24"/>
          <w:highlight w:val="none"/>
          <w:u w:val="single"/>
        </w:rPr>
        <w:t>承包人自备，发包人无需提供并无需承担费用。</w:t>
      </w:r>
    </w:p>
    <w:p w14:paraId="0EC3BE42">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国内没有相应标准、规范时的约定：</w:t>
      </w:r>
      <w:r>
        <w:rPr>
          <w:rFonts w:hint="eastAsia" w:ascii="宋体" w:hAnsi="宋体" w:eastAsia="宋体" w:cs="宋体"/>
          <w:color w:val="auto"/>
          <w:sz w:val="24"/>
          <w:szCs w:val="24"/>
          <w:highlight w:val="none"/>
          <w:u w:val="single"/>
        </w:rPr>
        <w:t>按生产企业在技术监督局备案并经监理工程师和发包人同意的标准。</w:t>
      </w:r>
    </w:p>
    <w:p w14:paraId="2A6D6389">
      <w:pPr>
        <w:keepNext w:val="0"/>
        <w:keepLines w:val="0"/>
        <w:pageBreakBefore w:val="0"/>
        <w:widowControl/>
        <w:kinsoku/>
        <w:wordWrap/>
        <w:overflowPunct/>
        <w:topLinePunct w:val="0"/>
        <w:bidi w:val="0"/>
        <w:spacing w:line="360" w:lineRule="auto"/>
        <w:ind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4、图纸</w:t>
      </w:r>
    </w:p>
    <w:p w14:paraId="1870B2D3">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4.1发包人向承包人提供图纸日期和套数：</w:t>
      </w:r>
      <w:r>
        <w:rPr>
          <w:rFonts w:hint="eastAsia" w:ascii="宋体" w:hAnsi="宋体" w:eastAsia="宋体" w:cs="宋体"/>
          <w:color w:val="auto"/>
          <w:sz w:val="24"/>
          <w:szCs w:val="24"/>
          <w:highlight w:val="none"/>
          <w:u w:val="single"/>
        </w:rPr>
        <w:t>开工前发包人向承包人提供全套施工图壹套（不含电子版），标准图集由承包人自备。</w:t>
      </w:r>
    </w:p>
    <w:p w14:paraId="5B1999A2">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发包人对图纸的保密要求：</w:t>
      </w:r>
      <w:r>
        <w:rPr>
          <w:rFonts w:hint="eastAsia" w:ascii="宋体" w:hAnsi="宋体" w:eastAsia="宋体" w:cs="宋体"/>
          <w:color w:val="auto"/>
          <w:sz w:val="24"/>
          <w:szCs w:val="24"/>
          <w:highlight w:val="none"/>
          <w:u w:val="single"/>
        </w:rPr>
        <w:t>承包人对所有图纸和工程文件负有保密义务，不得任意扩大接触和使用范围，不得泄露给与本工程无关的其他人员。发包人无需支付保密措施费用。因承包人原因造成泄密的，应承担赔偿损失等法律责任。</w:t>
      </w:r>
    </w:p>
    <w:p w14:paraId="48D74835">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使用国外图纸的要求及费用承担：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p>
    <w:p w14:paraId="6558AD25">
      <w:pPr>
        <w:keepNext w:val="0"/>
        <w:keepLines w:val="0"/>
        <w:pageBreakBefore w:val="0"/>
        <w:widowControl/>
        <w:kinsoku/>
        <w:wordWrap/>
        <w:overflowPunct/>
        <w:topLinePunct w:val="0"/>
        <w:bidi w:val="0"/>
        <w:spacing w:line="360" w:lineRule="auto"/>
        <w:ind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二、双方一般权利和义务</w:t>
      </w:r>
    </w:p>
    <w:p w14:paraId="32616EF7">
      <w:pPr>
        <w:keepNext w:val="0"/>
        <w:keepLines w:val="0"/>
        <w:pageBreakBefore w:val="0"/>
        <w:widowControl/>
        <w:kinsoku/>
        <w:wordWrap/>
        <w:overflowPunct/>
        <w:topLinePunct w:val="0"/>
        <w:bidi w:val="0"/>
        <w:spacing w:line="360" w:lineRule="auto"/>
        <w:ind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5、工程师</w:t>
      </w:r>
    </w:p>
    <w:p w14:paraId="45302EBB">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5.2监理单位委派的工程师</w:t>
      </w:r>
    </w:p>
    <w:p w14:paraId="03E9AD7A">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46B61C5F">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发包人委托的职权：</w:t>
      </w:r>
      <w:r>
        <w:rPr>
          <w:rFonts w:hint="eastAsia" w:ascii="宋体" w:hAnsi="宋体" w:eastAsia="宋体" w:cs="宋体"/>
          <w:color w:val="auto"/>
          <w:sz w:val="24"/>
          <w:szCs w:val="24"/>
          <w:highlight w:val="none"/>
          <w:u w:val="single"/>
        </w:rPr>
        <w:t>按照发包方与监理单位签订的“监理合同”中约定的发包方授权和委托，对本工程施工过程的安全、质量、进度和造价控制、合同管理和信息管理，施工中各种矛盾组织协调工作及全程监理。</w:t>
      </w:r>
    </w:p>
    <w:p w14:paraId="6B247F4B">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需要取得发包人批准才能行使的职权：</w:t>
      </w:r>
      <w:r>
        <w:rPr>
          <w:rFonts w:hint="eastAsia" w:ascii="宋体" w:hAnsi="宋体" w:eastAsia="宋体" w:cs="宋体"/>
          <w:color w:val="auto"/>
          <w:sz w:val="24"/>
          <w:szCs w:val="24"/>
          <w:highlight w:val="none"/>
          <w:u w:val="single"/>
        </w:rPr>
        <w:t>工程洽商、设计变更、工程签证、发包人指定价的认质认价、工期变更、工程款支付结算等在审定之前需经发包人同意。</w:t>
      </w:r>
    </w:p>
    <w:p w14:paraId="712298BC">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5.3发包人派驻的工程师</w:t>
      </w:r>
    </w:p>
    <w:p w14:paraId="1EA916F3">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14AF615D">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职权：</w:t>
      </w:r>
      <w:r>
        <w:rPr>
          <w:rFonts w:hint="eastAsia" w:ascii="宋体" w:hAnsi="宋体" w:eastAsia="宋体" w:cs="宋体"/>
          <w:color w:val="auto"/>
          <w:sz w:val="24"/>
          <w:szCs w:val="24"/>
          <w:highlight w:val="none"/>
          <w:u w:val="single"/>
        </w:rPr>
        <w:t>负责施工全过程内、外部关系协调、处理往来文件，对工程进度、质量、变更指令、签证、材料的认质认价、工程款支付、结算等进行管理。发包人派驻工程师工作中的行为和指令均视为发包方具有法律效力的行为或指令。</w:t>
      </w:r>
    </w:p>
    <w:p w14:paraId="547F40A5">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5.6不实行监理的，工程师的职权：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p>
    <w:p w14:paraId="033E65E5">
      <w:pPr>
        <w:keepNext w:val="0"/>
        <w:keepLines w:val="0"/>
        <w:pageBreakBefore w:val="0"/>
        <w:widowControl/>
        <w:kinsoku/>
        <w:wordWrap/>
        <w:overflowPunct/>
        <w:topLinePunct w:val="0"/>
        <w:bidi w:val="0"/>
        <w:spacing w:line="360" w:lineRule="auto"/>
        <w:ind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7、项目经理</w:t>
      </w:r>
    </w:p>
    <w:p w14:paraId="348A957E">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项目经理证号：</w:t>
      </w:r>
      <w:r>
        <w:rPr>
          <w:rFonts w:hint="eastAsia" w:ascii="宋体" w:hAnsi="宋体" w:eastAsia="宋体" w:cs="宋体"/>
          <w:color w:val="auto"/>
          <w:sz w:val="24"/>
          <w:szCs w:val="24"/>
          <w:highlight w:val="none"/>
          <w:u w:val="single"/>
        </w:rPr>
        <w:t xml:space="preserve">         </w:t>
      </w:r>
    </w:p>
    <w:p w14:paraId="4EB1929D">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7.4《通用条款》7.4款修改为：承包人原则上在本项目实施期间不得更换项目经理。承包人确实因特殊原因需要更换项目经理的（发包人提出要求更换的情况除外），应至少提前20天以书面形式通知发包人，以便双方有足够的时间进行协商，在发包人没有同意的情况下，承包人不得更换项目经理；发包人同意的，将被更换的项目经理也应当与其后任者在现场共同工作一段时间，认真、详细交接工作，发包人对后任项目经理满意后，才能进行正式更换；发包人对承包人选派的后任者不满意的，承包人应当另行选派，直至发包人满意后才能进行项目经理的更换,并按相关规定履行程序。后任者继续行使合同文件约定，行使前任的职权，履行前任的义务。项目实施期间，因不适该工程的管理工作，发包人有权要求承包人更换项目经理。</w:t>
      </w:r>
    </w:p>
    <w:p w14:paraId="6DDC2F7C">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7.5承包人在接到</w:t>
      </w:r>
      <w:r>
        <w:rPr>
          <w:rFonts w:hint="eastAsia" w:ascii="宋体" w:hAnsi="宋体" w:eastAsia="宋体" w:cs="宋体"/>
          <w:color w:val="auto"/>
          <w:sz w:val="24"/>
          <w:szCs w:val="24"/>
          <w:highlight w:val="none"/>
          <w:u w:val="single"/>
          <w:lang w:eastAsia="zh-CN"/>
        </w:rPr>
        <w:t>成交通知书</w:t>
      </w:r>
      <w:r>
        <w:rPr>
          <w:rFonts w:hint="eastAsia" w:ascii="宋体" w:hAnsi="宋体" w:eastAsia="宋体" w:cs="宋体"/>
          <w:color w:val="auto"/>
          <w:sz w:val="24"/>
          <w:szCs w:val="24"/>
          <w:highlight w:val="none"/>
          <w:u w:val="single"/>
        </w:rPr>
        <w:t>后5个工作日内要向发包人提交本项目担任项目经理的建造师、项目技术负责人、施工员、专职安全员、质量员、材料员的名单，注册职业资格证书以及管理人员的劳动合同、社保缴纳和工资发放等有效证明。承包人负责核对所提交资料的真实性，确保关键岗位人员与</w:t>
      </w:r>
      <w:r>
        <w:rPr>
          <w:rFonts w:hint="eastAsia" w:ascii="宋体" w:hAnsi="宋体" w:eastAsia="宋体" w:cs="宋体"/>
          <w:color w:val="auto"/>
          <w:sz w:val="24"/>
          <w:szCs w:val="24"/>
          <w:highlight w:val="none"/>
          <w:u w:val="single"/>
          <w:lang w:eastAsia="zh-CN"/>
        </w:rPr>
        <w:t>响应文件</w:t>
      </w:r>
      <w:r>
        <w:rPr>
          <w:rFonts w:hint="eastAsia" w:ascii="宋体" w:hAnsi="宋体" w:eastAsia="宋体" w:cs="宋体"/>
          <w:color w:val="auto"/>
          <w:sz w:val="24"/>
          <w:szCs w:val="24"/>
          <w:highlight w:val="none"/>
          <w:u w:val="single"/>
        </w:rPr>
        <w:t>的一致。</w:t>
      </w:r>
    </w:p>
    <w:p w14:paraId="4BD1DFE3">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开工前，关键岗位人员必须将关键岗位人员名单附照片张挂在工地现场醒目处，做到挂牌上岗、坚持到岗。关键岗位人员在现场工作日不少于总工期的80%，关键岗位人员配备及变更管理严格按省市相关文件规定执行。</w:t>
      </w:r>
    </w:p>
    <w:p w14:paraId="2166F821">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7.6承包人无条件接受发包人的考勤管理。考勤期间从开工当日起至工程完工结束，原则上每天考勤四次，上午、下午到现场检查到岗情况各两次为当日有效考勤。发包人每月整理装订考勤记录备查，并于每月5日前填报上一个月考勤统计表。</w:t>
      </w:r>
    </w:p>
    <w:p w14:paraId="48D59EA4">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7.7发包人若发现施工现场关键岗位人员无故未按要求签到、签退或擅离职守，发现一次给予项目经理以警告；发现两次扣除20%的履约保证金；发现两次按非法分包、转包和挂靠进行认定，扣除全部履约保证金。</w:t>
      </w:r>
    </w:p>
    <w:p w14:paraId="3AE60BC7">
      <w:pPr>
        <w:keepNext w:val="0"/>
        <w:keepLines w:val="0"/>
        <w:pageBreakBefore w:val="0"/>
        <w:widowControl/>
        <w:kinsoku/>
        <w:wordWrap/>
        <w:overflowPunct/>
        <w:topLinePunct w:val="0"/>
        <w:bidi w:val="0"/>
        <w:spacing w:line="360" w:lineRule="auto"/>
        <w:ind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8、发包人工作</w:t>
      </w:r>
    </w:p>
    <w:p w14:paraId="30CCD884">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8.1发包人应按约定的时间和要求完成以下工作：</w:t>
      </w:r>
    </w:p>
    <w:p w14:paraId="300240C6">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(1)施工场地具备施工条件的要求及完成的时间：</w:t>
      </w:r>
      <w:r>
        <w:rPr>
          <w:rFonts w:hint="eastAsia" w:ascii="宋体" w:hAnsi="宋体" w:eastAsia="宋体" w:cs="宋体"/>
          <w:color w:val="auto"/>
          <w:sz w:val="24"/>
          <w:szCs w:val="24"/>
          <w:highlight w:val="none"/>
        </w:rPr>
        <w:t>《通用条款》8.1.（1）款原文取消，改为：</w:t>
      </w:r>
      <w:r>
        <w:rPr>
          <w:rFonts w:hint="eastAsia" w:ascii="宋体" w:hAnsi="宋体" w:eastAsia="宋体" w:cs="宋体"/>
          <w:color w:val="auto"/>
          <w:sz w:val="24"/>
          <w:szCs w:val="24"/>
          <w:highlight w:val="none"/>
          <w:u w:val="single"/>
        </w:rPr>
        <w:t>办理土地征用、拆迁补偿事宜。</w:t>
      </w:r>
    </w:p>
    <w:p w14:paraId="3AE1B5C4">
      <w:pPr>
        <w:keepNext w:val="0"/>
        <w:keepLines w:val="0"/>
        <w:pageBreakBefore w:val="0"/>
        <w:kinsoku/>
        <w:wordWrap/>
        <w:overflowPunct/>
        <w:topLinePunct w:val="0"/>
        <w:bidi w:val="0"/>
        <w:spacing w:line="360" w:lineRule="auto"/>
        <w:ind w:firstLine="48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(2)将施工所需的水、电、通讯线路接至施工场地的时间、地点和供应要求：</w:t>
      </w:r>
      <w:r>
        <w:rPr>
          <w:rFonts w:hint="eastAsia" w:ascii="宋体" w:hAnsi="宋体" w:eastAsia="宋体" w:cs="宋体"/>
          <w:color w:val="auto"/>
          <w:sz w:val="24"/>
          <w:szCs w:val="24"/>
          <w:highlight w:val="none"/>
          <w:u w:val="single"/>
        </w:rPr>
        <w:t>承包人自行承担水电</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通讯</w:t>
      </w:r>
      <w:r>
        <w:rPr>
          <w:rFonts w:hint="eastAsia" w:ascii="宋体" w:hAnsi="宋体" w:eastAsia="宋体" w:cs="宋体"/>
          <w:color w:val="auto"/>
          <w:sz w:val="24"/>
          <w:szCs w:val="24"/>
          <w:highlight w:val="none"/>
          <w:u w:val="single"/>
        </w:rPr>
        <w:t>接入装置及计量设备费用，</w:t>
      </w:r>
      <w:r>
        <w:rPr>
          <w:rFonts w:hint="eastAsia" w:ascii="宋体" w:hAnsi="宋体" w:eastAsia="宋体" w:cs="宋体"/>
          <w:color w:val="auto"/>
          <w:sz w:val="24"/>
          <w:szCs w:val="24"/>
          <w:highlight w:val="none"/>
          <w:u w:val="single"/>
        </w:rPr>
        <w:t>所用水电费</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通讯费</w:t>
      </w:r>
      <w:r>
        <w:rPr>
          <w:rFonts w:hint="eastAsia" w:ascii="宋体" w:hAnsi="宋体" w:eastAsia="宋体" w:cs="宋体"/>
          <w:color w:val="auto"/>
          <w:sz w:val="24"/>
          <w:szCs w:val="24"/>
          <w:highlight w:val="none"/>
          <w:u w:val="single"/>
        </w:rPr>
        <w:t>由承包人自行承担</w:t>
      </w:r>
      <w:r>
        <w:rPr>
          <w:rFonts w:hint="eastAsia" w:ascii="宋体" w:hAnsi="宋体" w:eastAsia="宋体" w:cs="宋体"/>
          <w:color w:val="auto"/>
          <w:sz w:val="24"/>
          <w:szCs w:val="24"/>
          <w:highlight w:val="none"/>
          <w:u w:val="single"/>
        </w:rPr>
        <w:t>。</w:t>
      </w:r>
    </w:p>
    <w:p w14:paraId="4B6BF1EC">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(3)施工场地与公共道路的通道开通时间和要求：</w:t>
      </w:r>
      <w:r>
        <w:rPr>
          <w:rFonts w:hint="eastAsia" w:ascii="宋体" w:hAnsi="宋体" w:eastAsia="宋体" w:cs="宋体"/>
          <w:color w:val="auto"/>
          <w:sz w:val="24"/>
          <w:szCs w:val="24"/>
          <w:highlight w:val="none"/>
          <w:u w:val="single"/>
        </w:rPr>
        <w:t xml:space="preserve">   /    </w:t>
      </w:r>
    </w:p>
    <w:p w14:paraId="1AEFD1F5">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(4)工程地质和地下管线资料的提供时间：</w:t>
      </w:r>
      <w:r>
        <w:rPr>
          <w:rFonts w:hint="eastAsia" w:ascii="宋体" w:hAnsi="宋体" w:eastAsia="宋体" w:cs="宋体"/>
          <w:color w:val="auto"/>
          <w:sz w:val="24"/>
          <w:szCs w:val="24"/>
          <w:highlight w:val="none"/>
          <w:u w:val="single"/>
        </w:rPr>
        <w:t xml:space="preserve">   /    </w:t>
      </w:r>
    </w:p>
    <w:p w14:paraId="470C1C3D">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(5)由发包人办理的施工所需证件、批件的名称和完成时</w:t>
      </w:r>
      <w:r>
        <w:rPr>
          <w:rFonts w:hint="eastAsia" w:ascii="宋体" w:hAnsi="宋体" w:eastAsia="宋体" w:cs="宋体"/>
          <w:color w:val="auto"/>
          <w:sz w:val="24"/>
          <w:szCs w:val="24"/>
          <w:highlight w:val="none"/>
        </w:rPr>
        <w:t>间：</w:t>
      </w:r>
      <w:r>
        <w:rPr>
          <w:rFonts w:hint="eastAsia" w:ascii="宋体" w:hAnsi="宋体" w:eastAsia="宋体" w:cs="宋体"/>
          <w:color w:val="auto"/>
          <w:sz w:val="24"/>
          <w:szCs w:val="24"/>
          <w:highlight w:val="none"/>
          <w:u w:val="single"/>
        </w:rPr>
        <w:t>开工前5日内。</w:t>
      </w:r>
    </w:p>
    <w:p w14:paraId="0DEB50D9">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(6)水准点与座标控制点交验要求：</w:t>
      </w:r>
      <w:r>
        <w:rPr>
          <w:rFonts w:hint="eastAsia" w:ascii="宋体" w:hAnsi="宋体" w:eastAsia="宋体" w:cs="宋体"/>
          <w:color w:val="auto"/>
          <w:sz w:val="24"/>
          <w:szCs w:val="24"/>
          <w:highlight w:val="none"/>
          <w:u w:val="single"/>
        </w:rPr>
        <w:t xml:space="preserve">       /      </w:t>
      </w:r>
    </w:p>
    <w:p w14:paraId="336F760B">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(7)图纸会审和设计交底时间：</w:t>
      </w:r>
      <w:r>
        <w:rPr>
          <w:rFonts w:hint="eastAsia" w:ascii="宋体" w:hAnsi="宋体" w:eastAsia="宋体" w:cs="宋体"/>
          <w:color w:val="auto"/>
          <w:sz w:val="24"/>
          <w:szCs w:val="24"/>
          <w:highlight w:val="none"/>
          <w:u w:val="single"/>
        </w:rPr>
        <w:t>承包人进场后5天内完成图纸审查，向发包人申请交底。</w:t>
      </w:r>
    </w:p>
    <w:p w14:paraId="41C2E9E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(8)协调处理施工场地周围地下管线和邻近建筑物、构筑物（含文物保护建筑）、古树名木的保护工作：</w:t>
      </w:r>
      <w:r>
        <w:rPr>
          <w:rFonts w:hint="eastAsia" w:ascii="宋体" w:hAnsi="宋体" w:eastAsia="宋体" w:cs="宋体"/>
          <w:color w:val="auto"/>
          <w:sz w:val="24"/>
          <w:szCs w:val="24"/>
          <w:highlight w:val="none"/>
          <w:u w:val="single"/>
        </w:rPr>
        <w:t xml:space="preserve">       /        </w:t>
      </w:r>
    </w:p>
    <w:p w14:paraId="756D715E">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(9)双方约定发包人应做的其他工作：</w:t>
      </w:r>
      <w:r>
        <w:rPr>
          <w:rFonts w:hint="eastAsia" w:ascii="宋体" w:hAnsi="宋体" w:eastAsia="宋体" w:cs="宋体"/>
          <w:color w:val="auto"/>
          <w:sz w:val="24"/>
          <w:szCs w:val="24"/>
          <w:highlight w:val="none"/>
          <w:u w:val="single"/>
        </w:rPr>
        <w:t xml:space="preserve">  另行约定   </w:t>
      </w:r>
    </w:p>
    <w:p w14:paraId="58A7F225">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8.2发包人委托承包人办理的工作：</w:t>
      </w:r>
      <w:r>
        <w:rPr>
          <w:rFonts w:hint="eastAsia" w:ascii="宋体" w:hAnsi="宋体" w:eastAsia="宋体" w:cs="宋体"/>
          <w:color w:val="auto"/>
          <w:sz w:val="24"/>
          <w:szCs w:val="24"/>
          <w:highlight w:val="none"/>
          <w:u w:val="single"/>
        </w:rPr>
        <w:t>《通用条款》中8.1.（3）、8.1.（4）、8.1.（5）、8.1.（8）款全部由承包人办理，产生的费用由双方协商解决。</w:t>
      </w:r>
    </w:p>
    <w:p w14:paraId="092C8EB0">
      <w:pPr>
        <w:keepNext w:val="0"/>
        <w:keepLines w:val="0"/>
        <w:pageBreakBefore w:val="0"/>
        <w:widowControl/>
        <w:kinsoku/>
        <w:wordWrap/>
        <w:overflowPunct/>
        <w:topLinePunct w:val="0"/>
        <w:bidi w:val="0"/>
        <w:spacing w:line="360" w:lineRule="auto"/>
        <w:ind w:firstLine="482"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9、承包人工作  </w:t>
      </w:r>
      <w:r>
        <w:rPr>
          <w:rFonts w:hint="eastAsia" w:ascii="宋体" w:hAnsi="宋体" w:eastAsia="宋体" w:cs="宋体"/>
          <w:color w:val="auto"/>
          <w:sz w:val="24"/>
          <w:szCs w:val="24"/>
          <w:highlight w:val="none"/>
        </w:rPr>
        <w:t xml:space="preserve">                                                                                                                                 </w:t>
      </w:r>
    </w:p>
    <w:p w14:paraId="6673BEA3">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9.1承包人应按约定时间和要求，完成以下工作：</w:t>
      </w:r>
    </w:p>
    <w:p w14:paraId="4C5728EA">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(1)需由设计资质等级和业务范围允许的承包人完成的设计文件提交时间：</w:t>
      </w:r>
      <w:r>
        <w:rPr>
          <w:rFonts w:hint="eastAsia" w:ascii="宋体" w:hAnsi="宋体" w:eastAsia="宋体" w:cs="宋体"/>
          <w:color w:val="auto"/>
          <w:sz w:val="24"/>
          <w:szCs w:val="24"/>
          <w:highlight w:val="none"/>
          <w:u w:val="single"/>
        </w:rPr>
        <w:t xml:space="preserve">/ </w:t>
      </w:r>
    </w:p>
    <w:p w14:paraId="118CDA1E">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(2)应提供计划、报表的名称及完成时间：</w:t>
      </w:r>
    </w:p>
    <w:p w14:paraId="19432B46">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a、图</w:t>
      </w:r>
      <w:r>
        <w:rPr>
          <w:rFonts w:hint="eastAsia" w:ascii="宋体" w:hAnsi="宋体" w:eastAsia="宋体" w:cs="宋体"/>
          <w:color w:val="auto"/>
          <w:kern w:val="0"/>
          <w:sz w:val="24"/>
          <w:szCs w:val="24"/>
          <w:highlight w:val="none"/>
          <w:u w:val="single"/>
        </w:rPr>
        <w:t>纸交底后三日内提供经监理单位审批的施工组织设计和工程施工总进度计划，并根据工程进度至少每个月或按照工程师的指令进行总进度计划的修订；</w:t>
      </w:r>
    </w:p>
    <w:p w14:paraId="40EDB7CC">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b、</w:t>
      </w:r>
      <w:r>
        <w:rPr>
          <w:rFonts w:hint="eastAsia" w:ascii="宋体" w:hAnsi="宋体" w:eastAsia="宋体" w:cs="宋体"/>
          <w:color w:val="auto"/>
          <w:kern w:val="0"/>
          <w:sz w:val="24"/>
          <w:szCs w:val="24"/>
          <w:highlight w:val="none"/>
          <w:u w:val="single"/>
        </w:rPr>
        <w:t>提交工程施工总进度计划的同时提交第一个月详细工程进度计划，以后每月25日前提交下月详细工程进度计划</w:t>
      </w:r>
      <w:r>
        <w:rPr>
          <w:rFonts w:hint="eastAsia" w:ascii="宋体" w:hAnsi="宋体" w:eastAsia="宋体" w:cs="宋体"/>
          <w:color w:val="auto"/>
          <w:kern w:val="0"/>
          <w:sz w:val="24"/>
          <w:szCs w:val="24"/>
          <w:highlight w:val="none"/>
          <w:u w:val="single"/>
        </w:rPr>
        <w:t>一式三份</w:t>
      </w:r>
      <w:r>
        <w:rPr>
          <w:rFonts w:hint="eastAsia" w:ascii="宋体" w:hAnsi="宋体" w:eastAsia="宋体" w:cs="宋体"/>
          <w:color w:val="auto"/>
          <w:kern w:val="0"/>
          <w:sz w:val="24"/>
          <w:szCs w:val="24"/>
          <w:highlight w:val="none"/>
          <w:u w:val="single"/>
        </w:rPr>
        <w:t>；</w:t>
      </w:r>
    </w:p>
    <w:p w14:paraId="1C53C7D1">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c、</w:t>
      </w:r>
      <w:r>
        <w:rPr>
          <w:rFonts w:hint="eastAsia" w:ascii="宋体" w:hAnsi="宋体" w:eastAsia="宋体" w:cs="宋体"/>
          <w:color w:val="auto"/>
          <w:kern w:val="0"/>
          <w:sz w:val="24"/>
          <w:szCs w:val="24"/>
          <w:highlight w:val="none"/>
          <w:u w:val="single"/>
        </w:rPr>
        <w:t>每月25日前</w:t>
      </w:r>
      <w:r>
        <w:rPr>
          <w:rFonts w:hint="eastAsia" w:ascii="宋体" w:hAnsi="宋体" w:eastAsia="宋体" w:cs="宋体"/>
          <w:color w:val="auto"/>
          <w:kern w:val="0"/>
          <w:sz w:val="24"/>
          <w:szCs w:val="24"/>
          <w:highlight w:val="none"/>
          <w:u w:val="single"/>
        </w:rPr>
        <w:t>向发包人、监理单位提供本月已完成的工程报表一式三份</w:t>
      </w:r>
      <w:r>
        <w:rPr>
          <w:rFonts w:hint="eastAsia" w:ascii="宋体" w:hAnsi="宋体" w:eastAsia="宋体" w:cs="宋体"/>
          <w:color w:val="auto"/>
          <w:kern w:val="0"/>
          <w:sz w:val="24"/>
          <w:szCs w:val="24"/>
          <w:highlight w:val="none"/>
          <w:u w:val="single"/>
        </w:rPr>
        <w:t>。</w:t>
      </w:r>
    </w:p>
    <w:p w14:paraId="1A5090FE">
      <w:pPr>
        <w:keepNext w:val="0"/>
        <w:keepLines w:val="0"/>
        <w:pageBreakBefore w:val="0"/>
        <w:kinsoku/>
        <w:wordWrap/>
        <w:overflowPunct/>
        <w:topLinePunct w:val="0"/>
        <w:bidi w:val="0"/>
        <w:spacing w:line="360" w:lineRule="auto"/>
        <w:ind w:firstLine="360" w:firstLineChars="15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(3)承担施工安全保卫工作及非夜间施工照明的责任和要求</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u w:val="single"/>
        </w:rPr>
        <w:t>承包人应提供安全保卫及交通、巡查等必要的照明、危险物的警示、围栏设施等，并负责施工现场的防火、防盗及施工安全保卫工作，承担由此产生的费用。严格按照《施工现场临时用电安全技术规范JGJ46-88》和《建设工程施工现场供用电安全规范GB50104-93》组织施工，并承担由此产生的费用。</w:t>
      </w:r>
    </w:p>
    <w:p w14:paraId="1A3BD295">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因承包人未能履行上述义务，造成财产和人身伤害，由承包人承担全部法律责任及发生</w:t>
      </w:r>
      <w:r>
        <w:rPr>
          <w:rFonts w:hint="eastAsia" w:ascii="宋体" w:hAnsi="宋体" w:eastAsia="宋体" w:cs="宋体"/>
          <w:color w:val="auto"/>
          <w:sz w:val="24"/>
          <w:szCs w:val="24"/>
          <w:highlight w:val="none"/>
          <w:u w:val="single"/>
        </w:rPr>
        <w:t xml:space="preserve">的费用。 </w:t>
      </w:r>
    </w:p>
    <w:p w14:paraId="4EBA8D79">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(4)向发包人提供的办公和生活房屋及设施的要求：</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675064E1">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(5)需承包人办理的有关施工场地交通、环卫和施工噪音管理等手续：</w:t>
      </w:r>
      <w:r>
        <w:rPr>
          <w:rFonts w:hint="eastAsia" w:ascii="宋体" w:hAnsi="宋体" w:eastAsia="宋体" w:cs="宋体"/>
          <w:color w:val="auto"/>
          <w:kern w:val="0"/>
          <w:sz w:val="24"/>
          <w:szCs w:val="24"/>
          <w:highlight w:val="none"/>
          <w:u w:val="single"/>
        </w:rPr>
        <w:t>按规定时间和要求办理有关手续，并以书面形式通知发包人，相关费用都已包含在合同价款中。如因承包人未及时办理上述手续，导致的一切罚款、费用和法律责任，均由承包人自行承担。</w:t>
      </w:r>
    </w:p>
    <w:p w14:paraId="3C90B63C">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(6)已完工程成品保护的特殊要求及费用承担：</w:t>
      </w:r>
      <w:r>
        <w:rPr>
          <w:rFonts w:hint="eastAsia" w:ascii="宋体" w:hAnsi="宋体" w:eastAsia="宋体" w:cs="宋体"/>
          <w:color w:val="auto"/>
          <w:kern w:val="0"/>
          <w:sz w:val="24"/>
          <w:szCs w:val="24"/>
          <w:highlight w:val="none"/>
          <w:u w:val="single"/>
        </w:rPr>
        <w:t>包括已完工程在内所有未交付发包人之前的工程，承包人负责保护工作，发生损坏时，承包人负责自费予以修复。发包人要求承包人采取特殊措施保护的工程部位增加的费用经双方书面确认后由发包人承担。</w:t>
      </w:r>
    </w:p>
    <w:p w14:paraId="3C39CE3D">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(7)施工场地周围地下管线和邻近建筑物、构筑物（含文物保护建筑）、古树名木的保护要求及费用承担：</w:t>
      </w:r>
      <w:r>
        <w:rPr>
          <w:rFonts w:hint="eastAsia" w:ascii="宋体" w:hAnsi="宋体" w:eastAsia="宋体" w:cs="宋体"/>
          <w:color w:val="auto"/>
          <w:sz w:val="24"/>
          <w:szCs w:val="24"/>
          <w:highlight w:val="none"/>
          <w:u w:val="single"/>
        </w:rPr>
        <w:t>承包人应妥善保护，因保护不力造成的相关罚款、经济损失及法律责任由承包人承担；如发包人提出特殊保护要求，承包人予以执行，增加的费用由发包人承担。</w:t>
      </w:r>
    </w:p>
    <w:p w14:paraId="7C2D0736">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(8)施工场地清洁卫生的要求：</w:t>
      </w:r>
      <w:r>
        <w:rPr>
          <w:rFonts w:hint="eastAsia" w:ascii="宋体" w:hAnsi="宋体" w:eastAsia="宋体" w:cs="宋体"/>
          <w:color w:val="auto"/>
          <w:sz w:val="24"/>
          <w:szCs w:val="24"/>
          <w:highlight w:val="none"/>
          <w:u w:val="single"/>
        </w:rPr>
        <w:t>保证场地符合文明施工现场要求。按照环境卫生管理及城</w:t>
      </w:r>
      <w:r>
        <w:rPr>
          <w:rFonts w:hint="eastAsia" w:ascii="宋体" w:hAnsi="宋体" w:eastAsia="宋体" w:cs="宋体"/>
          <w:color w:val="auto"/>
          <w:sz w:val="24"/>
          <w:szCs w:val="24"/>
          <w:highlight w:val="none"/>
          <w:u w:val="single"/>
        </w:rPr>
        <w:t>市治理、治污减霾工作的有关规定，现场必须采取必要的扬尘污染防治措施；建筑垃圾的堆放清除、现场材料、设备的存放均应有序并明确标识；交工前清理现场达到建筑物无污染，现场无建筑垃圾。</w:t>
      </w:r>
      <w:r>
        <w:rPr>
          <w:rFonts w:hint="eastAsia" w:ascii="宋体" w:hAnsi="宋体" w:eastAsia="宋体" w:cs="宋体"/>
          <w:color w:val="auto"/>
          <w:sz w:val="24"/>
          <w:szCs w:val="24"/>
          <w:highlight w:val="none"/>
          <w:u w:val="single"/>
          <w:lang w:val="en-US" w:eastAsia="zh-CN"/>
        </w:rPr>
        <w:t>工程竣工验收后缺陷责任期内派驻保洁员进行道路日常保洁，保洁员人数不少于2人，每周至少2次洒水。</w:t>
      </w:r>
      <w:r>
        <w:rPr>
          <w:rFonts w:hint="eastAsia" w:ascii="宋体" w:hAnsi="宋体" w:eastAsia="宋体" w:cs="宋体"/>
          <w:color w:val="auto"/>
          <w:sz w:val="24"/>
          <w:szCs w:val="24"/>
          <w:highlight w:val="none"/>
          <w:u w:val="single"/>
        </w:rPr>
        <w:t>相关费用已包含在合同价款中。承包人未按要求执行的，承担因此造成的损失、罚款和相关法律责任；工程师提出整改要求，承包人应于接到整改要求后24小时内予以整改，如未整改，工程师有权根据现场实际情况出具相关书面通知，并依据该通知在工程付款时扣除相关费用。</w:t>
      </w:r>
    </w:p>
    <w:p w14:paraId="5033765E">
      <w:pPr>
        <w:keepNext w:val="0"/>
        <w:keepLines w:val="0"/>
        <w:pageBreakBefore w:val="0"/>
        <w:kinsoku/>
        <w:wordWrap/>
        <w:overflowPunct/>
        <w:topLinePunct w:val="0"/>
        <w:bidi w:val="0"/>
        <w:spacing w:line="360" w:lineRule="auto"/>
        <w:ind w:firstLine="540" w:firstLineChars="225"/>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sz w:val="24"/>
          <w:szCs w:val="24"/>
          <w:highlight w:val="none"/>
        </w:rPr>
        <w:t>双方约定承包人应做的其他工作：</w:t>
      </w:r>
    </w:p>
    <w:p w14:paraId="5662FCA9">
      <w:pPr>
        <w:keepNext w:val="0"/>
        <w:keepLines w:val="0"/>
        <w:pageBreakBefore w:val="0"/>
        <w:kinsoku/>
        <w:wordWrap/>
        <w:overflowPunct/>
        <w:topLinePunct w:val="0"/>
        <w:bidi w:val="0"/>
        <w:spacing w:line="360" w:lineRule="auto"/>
        <w:ind w:firstLine="540" w:firstLineChars="225"/>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①合同期内，承包人必须遵守项目所在地的相关规定，并参加由工程师、总监理工程师召集的定时举行的工地例会。项目经理离开工地超过一天的，必须事先以书面形式通知工程师。无故离开施工现场或不参加工地例会按2000元/天（次）进行处罚，工程师有权做出扣减承包</w:t>
      </w:r>
      <w:r>
        <w:rPr>
          <w:rFonts w:hint="eastAsia" w:ascii="宋体" w:hAnsi="宋体" w:eastAsia="宋体" w:cs="宋体"/>
          <w:color w:val="auto"/>
          <w:kern w:val="0"/>
          <w:sz w:val="24"/>
          <w:szCs w:val="24"/>
          <w:highlight w:val="none"/>
        </w:rPr>
        <w:t>人履约保证金的决</w:t>
      </w:r>
      <w:r>
        <w:rPr>
          <w:rFonts w:hint="eastAsia" w:ascii="宋体" w:hAnsi="宋体" w:eastAsia="宋体" w:cs="宋体"/>
          <w:color w:val="auto"/>
          <w:kern w:val="0"/>
          <w:sz w:val="24"/>
          <w:szCs w:val="24"/>
          <w:highlight w:val="none"/>
          <w:u w:val="none"/>
        </w:rPr>
        <w:t>定，</w:t>
      </w:r>
      <w:r>
        <w:rPr>
          <w:rFonts w:hint="eastAsia" w:ascii="宋体" w:hAnsi="宋体" w:eastAsia="宋体" w:cs="宋体"/>
          <w:color w:val="auto"/>
          <w:kern w:val="0"/>
          <w:sz w:val="24"/>
          <w:szCs w:val="24"/>
          <w:highlight w:val="none"/>
          <w:u w:val="single"/>
        </w:rPr>
        <w:t>并有权要求撤换项目经理。</w:t>
      </w:r>
    </w:p>
    <w:p w14:paraId="6B5CA78B">
      <w:pPr>
        <w:keepNext w:val="0"/>
        <w:keepLines w:val="0"/>
        <w:pageBreakBefore w:val="0"/>
        <w:kinsoku/>
        <w:wordWrap/>
        <w:overflowPunct/>
        <w:topLinePunct w:val="0"/>
        <w:bidi w:val="0"/>
        <w:spacing w:line="360" w:lineRule="auto"/>
        <w:ind w:firstLine="48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②承包人按设计院施工图纸（含设计变更）施工，协调与管理部门的关系，负责完成验收备案及手续办理等工作，确保工程全系统通过管理部门的验收备案。</w:t>
      </w:r>
    </w:p>
    <w:p w14:paraId="79ED2582">
      <w:pPr>
        <w:keepNext w:val="0"/>
        <w:keepLines w:val="0"/>
        <w:pageBreakBefore w:val="0"/>
        <w:kinsoku/>
        <w:wordWrap/>
        <w:overflowPunct/>
        <w:topLinePunct w:val="0"/>
        <w:bidi w:val="0"/>
        <w:spacing w:line="360" w:lineRule="auto"/>
        <w:ind w:firstLine="540" w:firstLineChars="225"/>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③承包人应将其在审阅合同文件及施工过程中发现的工程设计或技术规范的任何错误、遗漏、误差或其他缺陷及时通知工程师，并给发包方一份复印件。</w:t>
      </w:r>
    </w:p>
    <w:p w14:paraId="6D280E95">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④承包人应对整个现场操作和施工方法的完备性、稳定性和安全性负全责。承包人自行承担施工过程中发生的一切人身、财产纠纷、损失和法律责任。承包人应对其采用的施工工艺、施工方法等涉及到知识产权的行为的合法性负全责。</w:t>
      </w:r>
    </w:p>
    <w:p w14:paraId="22EEB8D4">
      <w:pPr>
        <w:keepNext w:val="0"/>
        <w:keepLines w:val="0"/>
        <w:pageBreakBefore w:val="0"/>
        <w:kinsoku/>
        <w:wordWrap/>
        <w:overflowPunct/>
        <w:topLinePunct w:val="0"/>
        <w:bidi w:val="0"/>
        <w:spacing w:line="360" w:lineRule="auto"/>
        <w:ind w:firstLine="48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⑤</w:t>
      </w:r>
      <w:r>
        <w:rPr>
          <w:rFonts w:hint="eastAsia" w:ascii="宋体" w:hAnsi="宋体" w:eastAsia="宋体" w:cs="宋体"/>
          <w:color w:val="auto"/>
          <w:sz w:val="24"/>
          <w:szCs w:val="24"/>
          <w:highlight w:val="none"/>
          <w:u w:val="single"/>
        </w:rPr>
        <w:t>承包人做好本项目配套管线施工的管理及配合工作，提供必要的技术支持。</w:t>
      </w:r>
    </w:p>
    <w:p w14:paraId="1F5F151C">
      <w:pPr>
        <w:keepNext w:val="0"/>
        <w:keepLines w:val="0"/>
        <w:pageBreakBefore w:val="0"/>
        <w:kinsoku/>
        <w:wordWrap/>
        <w:overflowPunct/>
        <w:topLinePunct w:val="0"/>
        <w:bidi w:val="0"/>
        <w:spacing w:line="360" w:lineRule="auto"/>
        <w:ind w:firstLine="48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⑥承包人办理施工许可证及其他施工所需、证件、批件和临时用地、停水、停电、中断道路交通、爆破作业等的申请批准手续。承包人协调处理施工场地周围地下管线和邻近建筑物、构筑物（包括文物保护建筑）、古树名木的保护工作。</w:t>
      </w:r>
    </w:p>
    <w:p w14:paraId="195FBAC5">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⑦承包人产生建筑垃圾和生活垃圾清运工作由承包人负责，费用由承包人承担。</w:t>
      </w:r>
    </w:p>
    <w:p w14:paraId="75382AD2">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⑧承包人在</w:t>
      </w:r>
      <w:r>
        <w:rPr>
          <w:rFonts w:hint="eastAsia" w:ascii="宋体" w:hAnsi="宋体" w:eastAsia="宋体" w:cs="宋体"/>
          <w:color w:val="auto"/>
          <w:kern w:val="0"/>
          <w:sz w:val="24"/>
          <w:szCs w:val="24"/>
          <w:highlight w:val="none"/>
          <w:u w:val="single"/>
          <w:lang w:eastAsia="zh-CN"/>
        </w:rPr>
        <w:t>响应文件</w:t>
      </w:r>
      <w:r>
        <w:rPr>
          <w:rFonts w:hint="eastAsia" w:ascii="宋体" w:hAnsi="宋体" w:eastAsia="宋体" w:cs="宋体"/>
          <w:color w:val="auto"/>
          <w:kern w:val="0"/>
          <w:sz w:val="24"/>
          <w:szCs w:val="24"/>
          <w:highlight w:val="none"/>
          <w:u w:val="single"/>
        </w:rPr>
        <w:t>中填写的资料，属于合同文本的组成部分，承包人应全面履行其所作的承诺，否则属于承包人违约，承包人应向发包人承担违约责任。</w:t>
      </w:r>
    </w:p>
    <w:p w14:paraId="3319E5DC">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⑨承包人主要机械设备未能按工程计划（或监理工程师的要求）及时到场或到场设备不能正常运转以及擅自调走已进场的机械设备，应按200元/天.台（套）标准向发包人支付违约金；迟到或调离超过10天时，发包人可自行组织采购，所需费用直接在支付合同价款时予以扣除，同时对到场时限的延迟按照上述标准计算违约金。</w:t>
      </w:r>
    </w:p>
    <w:p w14:paraId="3979DD9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⑩由承包人自行将水、电引至施工现场，并配备水、电表、表后水、电线路由施工单位安装并向水电供应部门直接缴纳水电费。水源、电源至工地现场的管线已经包含在临时设施费中，发包人不再另行支付。通讯线路和设备施工单位自行解决。</w:t>
      </w:r>
    </w:p>
    <w:p w14:paraId="2B3348F3">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三、施工组织设计和工期</w:t>
      </w:r>
    </w:p>
    <w:p w14:paraId="4E1A56FA">
      <w:pPr>
        <w:keepNext w:val="0"/>
        <w:keepLines w:val="0"/>
        <w:pageBreakBefore w:val="0"/>
        <w:widowControl/>
        <w:kinsoku/>
        <w:wordWrap/>
        <w:overflowPunct/>
        <w:topLinePunct w:val="0"/>
        <w:bidi w:val="0"/>
        <w:spacing w:line="360" w:lineRule="auto"/>
        <w:ind w:firstLine="482"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10、进度计划   </w:t>
      </w:r>
      <w:r>
        <w:rPr>
          <w:rFonts w:hint="eastAsia" w:ascii="宋体" w:hAnsi="宋体" w:eastAsia="宋体" w:cs="宋体"/>
          <w:color w:val="auto"/>
          <w:sz w:val="24"/>
          <w:szCs w:val="24"/>
          <w:highlight w:val="none"/>
        </w:rPr>
        <w:t xml:space="preserve">                                                                                             </w:t>
      </w:r>
    </w:p>
    <w:p w14:paraId="20B79E9E">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10.1承包人提供施工组织设计（施工方案）和进度计划的时间：</w:t>
      </w:r>
      <w:r>
        <w:rPr>
          <w:rFonts w:hint="eastAsia" w:ascii="宋体" w:hAnsi="宋体" w:eastAsia="宋体" w:cs="宋体"/>
          <w:color w:val="auto"/>
          <w:sz w:val="24"/>
          <w:szCs w:val="24"/>
          <w:highlight w:val="none"/>
          <w:u w:val="single"/>
        </w:rPr>
        <w:t>开工前，承包人根据地质资料、现场实际情况和发包人的要求，对投标施工组织设计进行完善，并在图纸交底后三日内提供施工组织设计和进度计划。</w:t>
      </w:r>
    </w:p>
    <w:p w14:paraId="236ED16D">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工程师确认的时间：</w:t>
      </w:r>
      <w:r>
        <w:rPr>
          <w:rFonts w:hint="eastAsia" w:ascii="宋体" w:hAnsi="宋体" w:eastAsia="宋体" w:cs="宋体"/>
          <w:color w:val="auto"/>
          <w:sz w:val="24"/>
          <w:szCs w:val="24"/>
          <w:highlight w:val="none"/>
          <w:u w:val="single"/>
        </w:rPr>
        <w:t>收到施工组织设计和进度计划后五日内确认或提出修改意见。承包人在收到修改意见后应于两日内修改完成并重新提交工程师确认。</w:t>
      </w:r>
    </w:p>
    <w:p w14:paraId="5FB5B1F7">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10.2群体工程中有关进度计划的要求：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p>
    <w:p w14:paraId="71285808">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13、工期延误</w:t>
      </w:r>
    </w:p>
    <w:p w14:paraId="4F418A34">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13.1双方约定工期顺延的其他情况：</w:t>
      </w:r>
      <w:r>
        <w:rPr>
          <w:rFonts w:hint="eastAsia" w:ascii="宋体" w:hAnsi="宋体" w:eastAsia="宋体" w:cs="宋体"/>
          <w:color w:val="auto"/>
          <w:kern w:val="0"/>
          <w:sz w:val="24"/>
          <w:szCs w:val="24"/>
          <w:highlight w:val="none"/>
          <w:u w:val="single"/>
        </w:rPr>
        <w:t>除执行通用条款13条外，以及政府政策及特殊规定，如创卫、大型文体活动、工程所在地有关部门特殊要求等；突发性的公共、卫生、治安事件；施工中遇到不可预见障碍物或古墓、文物、流沙需要处理；周边关系影响施工等。经双方书面确认后，工期顺延。</w:t>
      </w:r>
    </w:p>
    <w:p w14:paraId="39B4D715">
      <w:pPr>
        <w:keepNext w:val="0"/>
        <w:keepLines w:val="0"/>
        <w:pageBreakBefore w:val="0"/>
        <w:widowControl/>
        <w:kinsoku/>
        <w:wordWrap/>
        <w:overflowPunct/>
        <w:topLinePunct w:val="0"/>
        <w:bidi w:val="0"/>
        <w:spacing w:line="360" w:lineRule="auto"/>
        <w:ind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四、质量与验收</w:t>
      </w:r>
    </w:p>
    <w:p w14:paraId="783F4737">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15、工程质量</w:t>
      </w:r>
    </w:p>
    <w:p w14:paraId="7FED5AB3">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15.1符合施工图纸、</w:t>
      </w:r>
      <w:r>
        <w:rPr>
          <w:rFonts w:hint="eastAsia" w:ascii="宋体" w:hAnsi="宋体" w:eastAsia="宋体" w:cs="宋体"/>
          <w:color w:val="auto"/>
          <w:kern w:val="0"/>
          <w:sz w:val="24"/>
          <w:szCs w:val="24"/>
          <w:highlight w:val="none"/>
          <w:u w:val="single"/>
          <w:lang w:eastAsia="zh-CN"/>
        </w:rPr>
        <w:t>竞争性磋商文件</w:t>
      </w:r>
      <w:r>
        <w:rPr>
          <w:rFonts w:hint="eastAsia" w:ascii="宋体" w:hAnsi="宋体" w:eastAsia="宋体" w:cs="宋体"/>
          <w:color w:val="auto"/>
          <w:kern w:val="0"/>
          <w:sz w:val="24"/>
          <w:szCs w:val="24"/>
          <w:highlight w:val="none"/>
          <w:u w:val="single"/>
        </w:rPr>
        <w:t>和国家行业规范要求的质量标准。</w:t>
      </w:r>
    </w:p>
    <w:p w14:paraId="4369C1B2">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17．隐蔽工程和中间验收</w:t>
      </w:r>
    </w:p>
    <w:p w14:paraId="2BA793FD">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17.1双方约定中间验收部位：</w:t>
      </w:r>
      <w:r>
        <w:rPr>
          <w:rFonts w:hint="eastAsia" w:ascii="宋体" w:hAnsi="宋体" w:eastAsia="宋体" w:cs="宋体"/>
          <w:color w:val="auto"/>
          <w:sz w:val="24"/>
          <w:szCs w:val="24"/>
          <w:highlight w:val="none"/>
          <w:u w:val="single"/>
        </w:rPr>
        <w:t xml:space="preserve">  /  </w:t>
      </w:r>
    </w:p>
    <w:p w14:paraId="41A61C06">
      <w:pPr>
        <w:keepNext w:val="0"/>
        <w:keepLines w:val="0"/>
        <w:pageBreakBefore w:val="0"/>
        <w:kinsoku/>
        <w:wordWrap/>
        <w:overflowPunct/>
        <w:topLinePunct w:val="0"/>
        <w:bidi w:val="0"/>
        <w:spacing w:line="360" w:lineRule="auto"/>
        <w:ind w:firstLine="501" w:firstLineChars="209"/>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19、工程试车 </w:t>
      </w:r>
    </w:p>
    <w:p w14:paraId="093E3AF4">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试车费用的承担：</w:t>
      </w:r>
      <w:r>
        <w:rPr>
          <w:rFonts w:hint="eastAsia" w:ascii="宋体" w:hAnsi="宋体" w:eastAsia="宋体" w:cs="宋体"/>
          <w:color w:val="auto"/>
          <w:sz w:val="24"/>
          <w:szCs w:val="24"/>
          <w:highlight w:val="none"/>
          <w:u w:val="single"/>
        </w:rPr>
        <w:t>承包人承包范围内的工程调试、验收所用水、电费和有关消耗材料均由承包人承担。</w:t>
      </w:r>
    </w:p>
    <w:p w14:paraId="46571608">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五、安全防护、文明施工</w:t>
      </w:r>
    </w:p>
    <w:p w14:paraId="4FC9C31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u w:val="single"/>
        </w:rPr>
        <w:t>①承包人严格按陕西省文明工地检查（验收）标准实施，安全施工。承包人按照国家和当地政府有关规定应采取的任何必要的安全防护措施所需价款已包含在发包人支付的合同价款当中，发包人无需另行支付。承包人承担由于自身措施不力造成事故的全部责任和因此发生的全部费用。</w:t>
      </w:r>
      <w:r>
        <w:rPr>
          <w:rFonts w:hint="eastAsia" w:ascii="宋体" w:hAnsi="宋体" w:eastAsia="宋体" w:cs="宋体"/>
          <w:color w:val="auto"/>
          <w:kern w:val="0"/>
          <w:sz w:val="24"/>
          <w:szCs w:val="24"/>
          <w:highlight w:val="none"/>
          <w:u w:val="single"/>
        </w:rPr>
        <w:t>如因上述原因致使发包人陷入包括但不限于诉讼等形式的纠纷时，承包人应承担发包人为此支付的一切费用（包括但不限于赔偿金、违约金、律师费、诉讼费等）。</w:t>
      </w:r>
    </w:p>
    <w:p w14:paraId="7979681E">
      <w:pPr>
        <w:keepNext w:val="0"/>
        <w:keepLines w:val="0"/>
        <w:pageBreakBefore w:val="0"/>
        <w:kinsoku/>
        <w:wordWrap/>
        <w:overflowPunct/>
        <w:topLinePunct w:val="0"/>
        <w:bidi w:val="0"/>
        <w:spacing w:line="360" w:lineRule="auto"/>
        <w:ind w:firstLine="48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②安全文明措施费必须专款专用，如发包人检查发现承包人安全文明施工不到位，发包人有权利对施工不到位部分安全文明措施费进行扣除。</w:t>
      </w:r>
    </w:p>
    <w:p w14:paraId="5E50D5B0">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③安全目标为无死亡事故，工伤频率控制在西安市建筑施工安全管理法规规定的指标要求范围内。若发生工伤事故，有关费用全部由承包人承担，因此给发包人造成损失的，还应按照发包人的实际损失承担赔偿责任</w:t>
      </w:r>
      <w:r>
        <w:rPr>
          <w:rFonts w:hint="eastAsia" w:ascii="宋体" w:hAnsi="宋体" w:eastAsia="宋体" w:cs="宋体"/>
          <w:color w:val="auto"/>
          <w:kern w:val="0"/>
          <w:sz w:val="24"/>
          <w:szCs w:val="24"/>
          <w:highlight w:val="none"/>
          <w:u w:val="single"/>
        </w:rPr>
        <w:t>（包括但不限于发包人为此支付的赔偿金、违约金、律师费、诉讼费等）。因承包人未履行本条约定导致的罚款、费用和法律责任均由承包人自行承担。</w:t>
      </w:r>
    </w:p>
    <w:p w14:paraId="2152A41E">
      <w:pPr>
        <w:keepNext w:val="0"/>
        <w:keepLines w:val="0"/>
        <w:pageBreakBefore w:val="0"/>
        <w:widowControl/>
        <w:kinsoku/>
        <w:wordWrap/>
        <w:overflowPunct/>
        <w:topLinePunct w:val="0"/>
        <w:bidi w:val="0"/>
        <w:spacing w:line="360" w:lineRule="auto"/>
        <w:ind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六、合同价款与支付</w:t>
      </w:r>
    </w:p>
    <w:p w14:paraId="2C990FAD">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26、合同价款约定</w:t>
      </w:r>
    </w:p>
    <w:p w14:paraId="5D85B932">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26.2本合同价款采用第</w:t>
      </w:r>
      <w:r>
        <w:rPr>
          <w:rFonts w:hint="eastAsia" w:ascii="宋体" w:hAnsi="宋体" w:eastAsia="宋体" w:cs="宋体"/>
          <w:color w:val="auto"/>
          <w:kern w:val="0"/>
          <w:sz w:val="24"/>
          <w:szCs w:val="24"/>
          <w:highlight w:val="none"/>
          <w:u w:val="single"/>
        </w:rPr>
        <w:t xml:space="preserve"> （2） 种</w:t>
      </w:r>
      <w:r>
        <w:rPr>
          <w:rFonts w:hint="eastAsia" w:ascii="宋体" w:hAnsi="宋体" w:eastAsia="宋体" w:cs="宋体"/>
          <w:color w:val="auto"/>
          <w:kern w:val="0"/>
          <w:sz w:val="24"/>
          <w:szCs w:val="24"/>
          <w:highlight w:val="none"/>
        </w:rPr>
        <w:t>方式确定。</w:t>
      </w:r>
    </w:p>
    <w:p w14:paraId="48C5F84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(1)采用固定总价合同：</w:t>
      </w:r>
      <w:r>
        <w:rPr>
          <w:rFonts w:hint="eastAsia" w:ascii="宋体" w:hAnsi="宋体" w:eastAsia="宋体" w:cs="宋体"/>
          <w:color w:val="auto"/>
          <w:kern w:val="0"/>
          <w:sz w:val="24"/>
          <w:szCs w:val="24"/>
          <w:highlight w:val="none"/>
          <w:u w:val="single"/>
        </w:rPr>
        <w:t xml:space="preserve">   ／  </w:t>
      </w:r>
    </w:p>
    <w:p w14:paraId="64F22123">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(2)采用固定综合单价合同</w:t>
      </w:r>
      <w:r>
        <w:rPr>
          <w:rFonts w:hint="eastAsia" w:ascii="宋体" w:hAnsi="宋体" w:eastAsia="宋体" w:cs="宋体"/>
          <w:color w:val="auto"/>
          <w:kern w:val="0"/>
          <w:sz w:val="24"/>
          <w:highlight w:val="none"/>
        </w:rPr>
        <w:t>（</w:t>
      </w:r>
      <w:r>
        <w:rPr>
          <w:rFonts w:hint="eastAsia" w:ascii="宋体" w:hAnsi="宋体" w:eastAsia="宋体" w:cs="宋体"/>
          <w:color w:val="auto"/>
          <w:sz w:val="24"/>
          <w:szCs w:val="24"/>
          <w:highlight w:val="none"/>
          <w:lang w:eastAsia="zh-CN"/>
        </w:rPr>
        <w:t>以成交供应商一次磋商报价中的各项单价进行组价×（1-下浮率）据实结算，下浮率=[（一次磋商报价-最后磋商报价）/一次磋商报价]*100%。</w:t>
      </w:r>
      <w:r>
        <w:rPr>
          <w:rFonts w:hint="eastAsia" w:ascii="宋体" w:hAnsi="宋体" w:eastAsia="宋体" w:cs="宋体"/>
          <w:color w:val="auto"/>
          <w:sz w:val="24"/>
          <w:szCs w:val="24"/>
          <w:highlight w:val="none"/>
          <w:lang w:val="en-US" w:eastAsia="zh-CN"/>
        </w:rPr>
        <w:t>按</w:t>
      </w:r>
      <w:r>
        <w:rPr>
          <w:rFonts w:hint="eastAsia" w:ascii="宋体" w:hAnsi="宋体" w:eastAsia="宋体" w:cs="宋体"/>
          <w:color w:val="auto"/>
          <w:sz w:val="24"/>
          <w:szCs w:val="24"/>
          <w:highlight w:val="none"/>
          <w:lang w:eastAsia="zh-CN"/>
        </w:rPr>
        <w:t>下浮后的单价作为最终固定综合单价</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szCs w:val="24"/>
          <w:highlight w:val="none"/>
        </w:rPr>
        <w:t>，综合单价中包括的风险范围：</w:t>
      </w:r>
      <w:r>
        <w:rPr>
          <w:rFonts w:hint="eastAsia" w:ascii="宋体" w:hAnsi="宋体" w:eastAsia="宋体" w:cs="宋体"/>
          <w:bCs/>
          <w:color w:val="auto"/>
          <w:sz w:val="24"/>
          <w:highlight w:val="none"/>
          <w:u w:val="single"/>
        </w:rPr>
        <w:t>施工期间的人工、材料、建材及机械租赁市场风险、合同责任、施工质量及安全的风险等</w:t>
      </w:r>
      <w:r>
        <w:rPr>
          <w:rFonts w:hint="eastAsia" w:ascii="宋体" w:hAnsi="宋体" w:eastAsia="宋体" w:cs="宋体"/>
          <w:bCs/>
          <w:color w:val="auto"/>
          <w:sz w:val="24"/>
          <w:szCs w:val="24"/>
          <w:highlight w:val="none"/>
          <w:u w:val="single"/>
        </w:rPr>
        <w:t>。</w:t>
      </w:r>
    </w:p>
    <w:p w14:paraId="57CD070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风险范围以外综合单价调整方法：</w:t>
      </w:r>
      <w:r>
        <w:rPr>
          <w:rFonts w:hint="eastAsia" w:ascii="宋体" w:hAnsi="宋体" w:eastAsia="宋体" w:cs="宋体"/>
          <w:bCs/>
          <w:color w:val="auto"/>
          <w:sz w:val="24"/>
          <w:szCs w:val="24"/>
          <w:highlight w:val="none"/>
          <w:u w:val="single"/>
        </w:rPr>
        <w:t>因发包人招标时所发工程量清单的数量误差、设计变更引起的新增项目和发包人清单漏项均按工程变更对待，按《专用条款》第35条规定确定变更价款。因承包人漏报的项目不予调整。</w:t>
      </w:r>
    </w:p>
    <w:p w14:paraId="44778CB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(3)采用可调价格合同，合同价款调整方法：</w:t>
      </w:r>
      <w:r>
        <w:rPr>
          <w:rFonts w:hint="eastAsia" w:ascii="宋体" w:hAnsi="宋体" w:eastAsia="宋体" w:cs="宋体"/>
          <w:color w:val="auto"/>
          <w:kern w:val="0"/>
          <w:sz w:val="24"/>
          <w:szCs w:val="24"/>
          <w:highlight w:val="none"/>
          <w:u w:val="single"/>
        </w:rPr>
        <w:t xml:space="preserve">   ／  </w:t>
      </w:r>
    </w:p>
    <w:p w14:paraId="4B35422A">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27、合同价款调整</w:t>
      </w:r>
    </w:p>
    <w:p w14:paraId="262B523F">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27.1双方约定合同价款的其它调整因素：</w:t>
      </w:r>
    </w:p>
    <w:p w14:paraId="6CAAB945">
      <w:pPr>
        <w:keepNext w:val="0"/>
        <w:keepLines w:val="0"/>
        <w:pageBreakBefore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27.1.1 项目变更发生时，合同中已有适用于变更工程的价格，超出部分按</w:t>
      </w:r>
      <w:r>
        <w:rPr>
          <w:rFonts w:hint="eastAsia" w:ascii="宋体" w:hAnsi="宋体" w:eastAsia="宋体" w:cs="宋体"/>
          <w:color w:val="auto"/>
          <w:kern w:val="0"/>
          <w:sz w:val="24"/>
          <w:szCs w:val="24"/>
          <w:highlight w:val="none"/>
          <w:u w:val="single"/>
          <w:lang w:eastAsia="zh-CN"/>
        </w:rPr>
        <w:t>竞争性磋商文件</w:t>
      </w:r>
      <w:r>
        <w:rPr>
          <w:rFonts w:hint="eastAsia" w:ascii="宋体" w:hAnsi="宋体" w:eastAsia="宋体" w:cs="宋体"/>
          <w:color w:val="auto"/>
          <w:kern w:val="0"/>
          <w:sz w:val="24"/>
          <w:szCs w:val="24"/>
          <w:highlight w:val="none"/>
          <w:u w:val="single"/>
        </w:rPr>
        <w:t>编制最高限价综合单价的原则组价并办理结算；合同中只有类似于变更工程的价格，按</w:t>
      </w:r>
      <w:r>
        <w:rPr>
          <w:rFonts w:hint="eastAsia" w:ascii="宋体" w:hAnsi="宋体" w:eastAsia="宋体" w:cs="宋体"/>
          <w:color w:val="auto"/>
          <w:kern w:val="0"/>
          <w:sz w:val="24"/>
          <w:szCs w:val="24"/>
          <w:highlight w:val="none"/>
          <w:u w:val="single"/>
          <w:lang w:eastAsia="zh-CN"/>
        </w:rPr>
        <w:t>竞争性磋商文件</w:t>
      </w:r>
      <w:r>
        <w:rPr>
          <w:rFonts w:hint="eastAsia" w:ascii="宋体" w:hAnsi="宋体" w:eastAsia="宋体" w:cs="宋体"/>
          <w:color w:val="auto"/>
          <w:kern w:val="0"/>
          <w:sz w:val="24"/>
          <w:szCs w:val="24"/>
          <w:highlight w:val="none"/>
          <w:u w:val="single"/>
        </w:rPr>
        <w:t>编制最高限价综合单价的原则组价重新组价</w:t>
      </w:r>
      <w:r>
        <w:rPr>
          <w:rFonts w:hint="eastAsia" w:ascii="宋体" w:hAnsi="宋体" w:eastAsia="宋体" w:cs="宋体"/>
          <w:color w:val="auto"/>
          <w:kern w:val="0"/>
          <w:sz w:val="24"/>
          <w:szCs w:val="24"/>
          <w:highlight w:val="none"/>
          <w:u w:val="single"/>
          <w:lang w:val="en-US" w:eastAsia="zh-CN"/>
        </w:rPr>
        <w:t>并按中标费率下浮</w:t>
      </w:r>
      <w:r>
        <w:rPr>
          <w:rFonts w:hint="eastAsia" w:ascii="宋体" w:hAnsi="宋体" w:eastAsia="宋体" w:cs="宋体"/>
          <w:color w:val="auto"/>
          <w:kern w:val="0"/>
          <w:sz w:val="24"/>
          <w:szCs w:val="24"/>
          <w:highlight w:val="none"/>
          <w:u w:val="single"/>
        </w:rPr>
        <w:t>，若</w:t>
      </w:r>
      <w:r>
        <w:rPr>
          <w:rFonts w:hint="eastAsia" w:ascii="宋体" w:hAnsi="宋体" w:eastAsia="宋体" w:cs="宋体"/>
          <w:color w:val="auto"/>
          <w:kern w:val="0"/>
          <w:sz w:val="24"/>
          <w:szCs w:val="24"/>
          <w:highlight w:val="none"/>
          <w:u w:val="single"/>
          <w:lang w:eastAsia="zh-CN"/>
        </w:rPr>
        <w:t>响应文件</w:t>
      </w:r>
      <w:r>
        <w:rPr>
          <w:rFonts w:hint="eastAsia" w:ascii="宋体" w:hAnsi="宋体" w:eastAsia="宋体" w:cs="宋体"/>
          <w:color w:val="auto"/>
          <w:kern w:val="0"/>
          <w:sz w:val="24"/>
          <w:szCs w:val="24"/>
          <w:highlight w:val="none"/>
          <w:u w:val="single"/>
        </w:rPr>
        <w:t>中无相同主材单价时，则执行经发包人认质认价程序确认的价格，差价只计取安全文明施工措施费、规费和税金，综合单价按</w:t>
      </w:r>
      <w:r>
        <w:rPr>
          <w:rFonts w:hint="eastAsia" w:ascii="宋体" w:hAnsi="宋体" w:eastAsia="宋体" w:cs="宋体"/>
          <w:color w:val="auto"/>
          <w:kern w:val="0"/>
          <w:sz w:val="24"/>
          <w:szCs w:val="24"/>
          <w:highlight w:val="none"/>
          <w:u w:val="single"/>
          <w:lang w:eastAsia="zh-CN"/>
        </w:rPr>
        <w:t>竞争性磋商文件</w:t>
      </w:r>
      <w:r>
        <w:rPr>
          <w:rFonts w:hint="eastAsia" w:ascii="宋体" w:hAnsi="宋体" w:eastAsia="宋体" w:cs="宋体"/>
          <w:color w:val="auto"/>
          <w:kern w:val="0"/>
          <w:sz w:val="24"/>
          <w:szCs w:val="24"/>
          <w:highlight w:val="none"/>
          <w:u w:val="single"/>
        </w:rPr>
        <w:t>编制最高限价综合单价的原则组价进行组价</w:t>
      </w:r>
      <w:r>
        <w:rPr>
          <w:rFonts w:hint="eastAsia" w:ascii="宋体" w:hAnsi="宋体" w:eastAsia="宋体" w:cs="宋体"/>
          <w:color w:val="auto"/>
          <w:kern w:val="0"/>
          <w:sz w:val="24"/>
          <w:szCs w:val="24"/>
          <w:highlight w:val="none"/>
          <w:u w:val="single"/>
          <w:lang w:val="en-US" w:eastAsia="zh-CN"/>
        </w:rPr>
        <w:t>并按中标费率下浮</w:t>
      </w:r>
      <w:r>
        <w:rPr>
          <w:rFonts w:hint="eastAsia" w:ascii="宋体" w:hAnsi="宋体" w:eastAsia="宋体" w:cs="宋体"/>
          <w:color w:val="auto"/>
          <w:kern w:val="0"/>
          <w:sz w:val="24"/>
          <w:szCs w:val="24"/>
          <w:highlight w:val="none"/>
          <w:u w:val="single"/>
        </w:rPr>
        <w:t>；</w:t>
      </w:r>
    </w:p>
    <w:p w14:paraId="2FC70131">
      <w:pPr>
        <w:keepNext w:val="0"/>
        <w:keepLines w:val="0"/>
        <w:pageBreakBefore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27.1.2材料认价中垃圾外运执行</w:t>
      </w:r>
      <w:r>
        <w:rPr>
          <w:rFonts w:hint="eastAsia" w:ascii="宋体" w:hAnsi="宋体" w:eastAsia="宋体" w:cs="宋体"/>
          <w:color w:val="auto"/>
          <w:kern w:val="0"/>
          <w:sz w:val="24"/>
          <w:szCs w:val="24"/>
          <w:highlight w:val="none"/>
          <w:u w:val="single"/>
          <w:lang w:eastAsia="zh-CN"/>
        </w:rPr>
        <w:t>莲湖区</w:t>
      </w:r>
      <w:r>
        <w:rPr>
          <w:rFonts w:hint="eastAsia" w:ascii="宋体" w:hAnsi="宋体" w:eastAsia="宋体" w:cs="宋体"/>
          <w:color w:val="auto"/>
          <w:kern w:val="0"/>
          <w:sz w:val="24"/>
          <w:szCs w:val="24"/>
          <w:highlight w:val="none"/>
          <w:u w:val="single"/>
        </w:rPr>
        <w:t>制定的指导价结算。</w:t>
      </w:r>
    </w:p>
    <w:p w14:paraId="4F6E290E">
      <w:pPr>
        <w:keepNext w:val="0"/>
        <w:keepLines w:val="0"/>
        <w:pageBreakBefore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27.1.3工程施工过程中，若发现清单中的工程量与实际不符，按实计算。</w:t>
      </w:r>
    </w:p>
    <w:p w14:paraId="6AE5D241">
      <w:pPr>
        <w:keepNext w:val="0"/>
        <w:keepLines w:val="0"/>
        <w:pageBreakBefore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27.1.4本工程失业、医疗、残疾人就业、工伤、意外伤害保险已包含在中标价中，竣工结算时承包人必须向发包人提供上述保险在施工当中的入保凭证（陕西省境内），如承包人不能完全提供或只能提供部分项目的入保凭证，发包人依据承包人提供的入保凭证项目给与结算，承包人未能提供的入保凭证项目结算时在合同价款中扣除相关保险项目费用。</w:t>
      </w:r>
    </w:p>
    <w:p w14:paraId="57FD6D46">
      <w:pPr>
        <w:keepNext w:val="0"/>
        <w:keepLines w:val="0"/>
        <w:pageBreakBefore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27.1.5暂定价材料设备价款按发包人签署的认质认价单进行调整。</w:t>
      </w:r>
    </w:p>
    <w:p w14:paraId="21B6ECB2">
      <w:pPr>
        <w:keepNext w:val="0"/>
        <w:keepLines w:val="0"/>
        <w:pageBreakBefore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27.1.6本工程合同约定主要材料包括：</w:t>
      </w:r>
      <w:r>
        <w:rPr>
          <w:rFonts w:hint="eastAsia" w:ascii="宋体" w:hAnsi="宋体" w:eastAsia="宋体" w:cs="宋体"/>
          <w:color w:val="auto"/>
          <w:kern w:val="0"/>
          <w:sz w:val="24"/>
          <w:szCs w:val="24"/>
          <w:highlight w:val="none"/>
          <w:u w:val="single"/>
        </w:rPr>
        <w:t>塑胶地板、无机预涂板、电线电缆等</w:t>
      </w:r>
      <w:r>
        <w:rPr>
          <w:rFonts w:hint="eastAsia" w:ascii="宋体" w:hAnsi="宋体" w:eastAsia="宋体" w:cs="宋体"/>
          <w:color w:val="auto"/>
          <w:kern w:val="0"/>
          <w:sz w:val="24"/>
          <w:szCs w:val="24"/>
          <w:highlight w:val="none"/>
          <w:u w:val="single"/>
        </w:rPr>
        <w:t>，市场价格发生变化时执行《陕西省建设厅关于主要建筑材料价格风险约定及调整的通知》（陕建发〔2009〕3号）精神，价格波动风险幅度约定为基准价的±5%，基准价为投标截止日当期信息价，具体调整办法如下：</w:t>
      </w:r>
    </w:p>
    <w:p w14:paraId="418CE8FB">
      <w:pPr>
        <w:keepNext w:val="0"/>
        <w:keepLines w:val="0"/>
        <w:pageBreakBefore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（1）对比主要材料采购当期信息价，从工程投标截止日到工程竣工期间波动幅度在基准价±5%以内的主材价格不作调整；</w:t>
      </w:r>
    </w:p>
    <w:p w14:paraId="17D15F80">
      <w:pPr>
        <w:keepNext w:val="0"/>
        <w:keepLines w:val="0"/>
        <w:pageBreakBefore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2）主要材料采购当期信息价上涨超过基准价5%的，调整超过基准价5%以上的差价，同时按照最高限价中材料单价与编制最高限价当期信息价的下浮比例进行下浮。如报价高于基准价的，扣除高于部分，最多扣到不调为止；具体公式为：价差=采购当期信息价×下浮比例-基准价×（1+5%）×下浮比例-投标报价高于基准价部分；</w:t>
      </w:r>
    </w:p>
    <w:p w14:paraId="1E9ED988">
      <w:pPr>
        <w:keepNext w:val="0"/>
        <w:keepLines w:val="0"/>
        <w:pageBreakBefore w:val="0"/>
        <w:kinsoku/>
        <w:wordWrap/>
        <w:overflowPunct/>
        <w:topLinePunct w:val="0"/>
        <w:autoSpaceDE w:val="0"/>
        <w:autoSpaceDN w:val="0"/>
        <w:bidi w:val="0"/>
        <w:spacing w:line="360" w:lineRule="auto"/>
        <w:ind w:firstLine="480" w:firstLineChars="200"/>
        <w:textAlignment w:val="auto"/>
        <w:rPr>
          <w:rFonts w:hint="default"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u w:val="single"/>
        </w:rPr>
        <w:t>（3）主要材料采购当期信息价下跌超过基准价5%的，调整超过基准价5%以外的价差，同时按照最高限价中材料单价与编制最高限价当期信息价的下浮比例进行下浮。如报价低于基准价的，扣除低于部分，最多扣到不调为止；具体公式为：价差=基准价×（1-5%）×下浮比例-采购当期信息价×下浮比例-投标报价低于基准价部分；</w:t>
      </w:r>
    </w:p>
    <w:p w14:paraId="48647577">
      <w:pPr>
        <w:keepNext w:val="0"/>
        <w:keepLines w:val="0"/>
        <w:pageBreakBefore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（4）施工期内，承包人采购主要材料的数量及日期应通过监理审核，确认用于本合同工程后报发包人审核，以此作为材料价格调整的依据；</w:t>
      </w:r>
    </w:p>
    <w:p w14:paraId="5FE350AF">
      <w:pPr>
        <w:keepNext w:val="0"/>
        <w:keepLines w:val="0"/>
        <w:pageBreakBefore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（5）因方发包人原因造成工期延误的，延误期间发生的主要材料价格上涨可按本办法调整;因承包人原因造成工期延误的,延误期间发生的主要材料价格上涨差价由承包人承担；</w:t>
      </w:r>
    </w:p>
    <w:p w14:paraId="7D02DC01">
      <w:pPr>
        <w:keepNext w:val="0"/>
        <w:keepLines w:val="0"/>
        <w:pageBreakBefore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（6）主要材料调整的方式为计入差价，差价部分按规定只计取安全文明施工措施费、规费和税金。</w:t>
      </w:r>
    </w:p>
    <w:p w14:paraId="7BDF792F">
      <w:pPr>
        <w:keepNext w:val="0"/>
        <w:keepLines w:val="0"/>
        <w:pageBreakBefore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27.1.7人工</w:t>
      </w:r>
      <w:r>
        <w:rPr>
          <w:rFonts w:hint="eastAsia" w:ascii="宋体" w:hAnsi="宋体" w:eastAsia="宋体" w:cs="宋体"/>
          <w:color w:val="auto"/>
          <w:kern w:val="0"/>
          <w:sz w:val="24"/>
          <w:szCs w:val="24"/>
          <w:highlight w:val="none"/>
          <w:u w:val="single"/>
        </w:rPr>
        <w:t>单价按政府文件界定的时间段调整。</w:t>
      </w:r>
    </w:p>
    <w:p w14:paraId="54DFF501">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28、工程预付款</w:t>
      </w:r>
    </w:p>
    <w:p w14:paraId="57CD0DE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发包人向承包人预付工程款的时间和金额或占合同价款总额的比例：</w:t>
      </w:r>
      <w:r>
        <w:rPr>
          <w:rFonts w:hint="eastAsia" w:ascii="宋体" w:hAnsi="宋体" w:eastAsia="宋体" w:cs="宋体"/>
          <w:color w:val="auto"/>
          <w:sz w:val="24"/>
          <w:szCs w:val="24"/>
          <w:highlight w:val="none"/>
          <w:u w:val="single"/>
        </w:rPr>
        <w:t>本合同签订后一个月内，发包人向承包人按合同总价（扣除其他费用）的</w:t>
      </w:r>
      <w:r>
        <w:rPr>
          <w:rFonts w:hint="eastAsia" w:ascii="宋体" w:hAnsi="宋体" w:eastAsia="宋体" w:cs="宋体"/>
          <w:color w:val="auto"/>
          <w:sz w:val="24"/>
          <w:szCs w:val="24"/>
          <w:highlight w:val="none"/>
          <w:u w:val="single"/>
        </w:rPr>
        <w:t>10％支</w:t>
      </w:r>
      <w:r>
        <w:rPr>
          <w:rFonts w:hint="eastAsia" w:ascii="宋体" w:hAnsi="宋体" w:eastAsia="宋体" w:cs="宋体"/>
          <w:color w:val="auto"/>
          <w:sz w:val="24"/>
          <w:szCs w:val="24"/>
          <w:highlight w:val="none"/>
          <w:u w:val="single"/>
        </w:rPr>
        <w:t>付预付款(含全部安全文明施工费)。</w:t>
      </w:r>
    </w:p>
    <w:p w14:paraId="4D0A3CE9">
      <w:pPr>
        <w:keepNext w:val="0"/>
        <w:keepLines w:val="0"/>
        <w:pageBreakBefore w:val="0"/>
        <w:kinsoku/>
        <w:wordWrap/>
        <w:overflowPunct/>
        <w:topLinePunct w:val="0"/>
        <w:autoSpaceDE w:val="0"/>
        <w:autoSpaceDN w:val="0"/>
        <w:bidi w:val="0"/>
        <w:adjustRightInd w:val="0"/>
        <w:spacing w:line="360" w:lineRule="auto"/>
        <w:ind w:firstLine="477" w:firstLineChars="199"/>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扣回工程款的时间、比例：</w:t>
      </w:r>
      <w:r>
        <w:rPr>
          <w:rFonts w:hint="eastAsia" w:ascii="宋体" w:hAnsi="宋体" w:eastAsia="宋体" w:cs="宋体"/>
          <w:bCs/>
          <w:color w:val="auto"/>
          <w:kern w:val="0"/>
          <w:sz w:val="24"/>
          <w:szCs w:val="24"/>
          <w:highlight w:val="none"/>
          <w:u w:val="single"/>
          <w:lang w:val="en-US" w:eastAsia="zh-CN"/>
        </w:rPr>
        <w:t>/</w:t>
      </w:r>
    </w:p>
    <w:p w14:paraId="6B44F208">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29、已完工程量确认</w:t>
      </w:r>
    </w:p>
    <w:p w14:paraId="6242C07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kern w:val="0"/>
          <w:sz w:val="24"/>
          <w:szCs w:val="24"/>
          <w:highlight w:val="none"/>
        </w:rPr>
        <w:t>29.1承包人向工程师提交已完工程量报告的时间：</w:t>
      </w:r>
      <w:r>
        <w:rPr>
          <w:rFonts w:hint="eastAsia" w:ascii="宋体" w:hAnsi="宋体" w:eastAsia="宋体" w:cs="宋体"/>
          <w:color w:val="auto"/>
          <w:sz w:val="24"/>
          <w:szCs w:val="24"/>
          <w:highlight w:val="none"/>
          <w:u w:val="single"/>
          <w:lang w:val="en-US" w:eastAsia="zh-CN"/>
        </w:rPr>
        <w:t>/</w:t>
      </w:r>
    </w:p>
    <w:p w14:paraId="0E7934DC">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30、工程进度款结算与支付</w:t>
      </w:r>
    </w:p>
    <w:p w14:paraId="592FB486">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30.1双方约定的工程进度款支付的方式、时间和比例是：</w:t>
      </w:r>
    </w:p>
    <w:p w14:paraId="779E642C">
      <w:pPr>
        <w:pStyle w:val="10"/>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在签订工程总承包合同后10天内按签约合同总价（包含安全文明施工费，须在开工前一次性足额付给承包人，同时扣除专业工程暂估金额、暂列金额的费用）的10％拨付。</w:t>
      </w:r>
    </w:p>
    <w:p w14:paraId="1C9722BD">
      <w:pPr>
        <w:pStyle w:val="10"/>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预付款支付期限：在签订承包合同后10天内。</w:t>
      </w:r>
    </w:p>
    <w:p w14:paraId="48061428">
      <w:pPr>
        <w:pStyle w:val="10"/>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预付款扣回的方式：工程开工后，从每月的工程进度款中扣回，至进度款60%时全部扣回。支付月工程进度款时承包人应提供工程发票。</w:t>
      </w:r>
    </w:p>
    <w:p w14:paraId="394AB960">
      <w:pPr>
        <w:pStyle w:val="10"/>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预付款担保</w:t>
      </w:r>
    </w:p>
    <w:p w14:paraId="33D69641">
      <w:pPr>
        <w:pStyle w:val="10"/>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承包人提交预付款担保的期限：在签订承包合同后10天内。</w:t>
      </w:r>
    </w:p>
    <w:p w14:paraId="5332162C">
      <w:pPr>
        <w:pStyle w:val="10"/>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预付款担保的形式为：在签订承包合同后10天内预付款支付前，提供等额的预付款担保。预付款担保形式可为符合国家现行政策要求的预付款担保。预付款全部扣回后，解除担保。</w:t>
      </w:r>
    </w:p>
    <w:p w14:paraId="34F5E27C">
      <w:pPr>
        <w:pStyle w:val="10"/>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付款周期：</w:t>
      </w:r>
    </w:p>
    <w:p w14:paraId="7EAE33A1">
      <w:pPr>
        <w:pStyle w:val="10"/>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关于付款周期的约定：双方约定的工程款进度款支付的方式、时间和比例如下。</w:t>
      </w:r>
    </w:p>
    <w:p w14:paraId="742B62D1">
      <w:pPr>
        <w:pStyle w:val="10"/>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根据工程完成的实物工程量每月支付一次进度款（不包括设计变更及签证调增费用）。承包人于每月25日前申报当月完成的实际工程量，经发包人批准后，发包人拨付当期发包人审核通过的工程量价款的80%；累计付至合同价款的80%时暂停支付。</w:t>
      </w:r>
    </w:p>
    <w:p w14:paraId="2B20F1D9">
      <w:pPr>
        <w:pStyle w:val="10"/>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②承包人完成所有的专项验收及综合验收、竣工验收且资料备案后付至合同价款的90%。</w:t>
      </w:r>
    </w:p>
    <w:p w14:paraId="0C519BCC">
      <w:pPr>
        <w:pStyle w:val="10"/>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③完成竣工结算且资料归档后支付至工程结算款的97%。</w:t>
      </w:r>
    </w:p>
    <w:p w14:paraId="4D874DF6">
      <w:pPr>
        <w:pStyle w:val="10"/>
        <w:keepNext w:val="0"/>
        <w:keepLines w:val="0"/>
        <w:pageBreakBefore w:val="0"/>
        <w:widowControl/>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④质量保证（保修）金为工程结算款的3%，结算付款时扣留。自验收合格之日起两年缺陷责任期满无质量问题一次性无息付清。</w:t>
      </w:r>
    </w:p>
    <w:p w14:paraId="03167B16">
      <w:pPr>
        <w:keepNext w:val="0"/>
        <w:keepLines w:val="0"/>
        <w:pageBreakBefore w:val="0"/>
        <w:widowControl/>
        <w:kinsoku/>
        <w:wordWrap/>
        <w:overflowPunct/>
        <w:topLinePunct w:val="0"/>
        <w:bidi w:val="0"/>
        <w:spacing w:line="360" w:lineRule="auto"/>
        <w:ind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七、材料设备供应</w:t>
      </w:r>
    </w:p>
    <w:p w14:paraId="20341881">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32、承包人采购材料设备</w:t>
      </w:r>
    </w:p>
    <w:p w14:paraId="6E52E36F">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.1承包人采购材料设备的约定：</w:t>
      </w:r>
    </w:p>
    <w:p w14:paraId="2BF8117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必须严格按施工图约定及合同要求选择材料。采购前报监理单位和建设单位的相关部门批准后，方可进行采购。所选材料必须是符合国家行业部门检测的合格产品，符合国家环境污染控制有关规范，具备出厂证明、质量检验证、产品合格证及相关检验证明。在使用前报监理单位和建设单位确认后方可用于工程，否则按照不合格产品对待，由此造成的经济损失由承包人承担。实际使用的自主报价材料不得出现以次充好的现象，否则发包人有权按不利于承包人的材料价格结算。承包人承担因材料不符合法律法规规定及本合同约定导致的一切损失和法律责任。若有发包人暂定价的材料设备必须经发包人认质认价审批程序后承包人方可采购；按发包人认定的价格与暂定价差额计算材料价差，其价差部分只计取</w:t>
      </w:r>
      <w:r>
        <w:rPr>
          <w:rFonts w:hint="eastAsia" w:ascii="宋体" w:hAnsi="宋体" w:eastAsia="宋体" w:cs="宋体"/>
          <w:color w:val="auto"/>
          <w:kern w:val="0"/>
          <w:sz w:val="24"/>
          <w:szCs w:val="24"/>
          <w:highlight w:val="none"/>
          <w:u w:val="single"/>
        </w:rPr>
        <w:t>安全文明施工措施费、</w:t>
      </w:r>
      <w:r>
        <w:rPr>
          <w:rFonts w:hint="eastAsia" w:ascii="宋体" w:hAnsi="宋体" w:eastAsia="宋体" w:cs="宋体"/>
          <w:color w:val="auto"/>
          <w:sz w:val="24"/>
          <w:szCs w:val="24"/>
          <w:highlight w:val="none"/>
          <w:u w:val="single"/>
        </w:rPr>
        <w:t>规费和税金。</w:t>
      </w:r>
    </w:p>
    <w:p w14:paraId="7058C5FB">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八、工程变更</w:t>
      </w:r>
    </w:p>
    <w:p w14:paraId="2714C979">
      <w:pPr>
        <w:keepNext w:val="0"/>
        <w:keepLines w:val="0"/>
        <w:pageBreakBefore w:val="0"/>
        <w:kinsoku/>
        <w:wordWrap/>
        <w:overflowPunct/>
        <w:topLinePunct w:val="0"/>
        <w:bidi w:val="0"/>
        <w:spacing w:line="360" w:lineRule="auto"/>
        <w:ind w:firstLine="600" w:firstLineChars="25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34、重大变更：由双方协商解决或另行签订补充协议。</w:t>
      </w:r>
    </w:p>
    <w:p w14:paraId="6BC5282A">
      <w:pPr>
        <w:keepNext w:val="0"/>
        <w:keepLines w:val="0"/>
        <w:pageBreakBefore w:val="0"/>
        <w:kinsoku/>
        <w:wordWrap/>
        <w:overflowPunct/>
        <w:topLinePunct w:val="0"/>
        <w:bidi w:val="0"/>
        <w:spacing w:line="360" w:lineRule="auto"/>
        <w:ind w:firstLine="600" w:firstLineChars="25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35、确定变更价款</w:t>
      </w:r>
    </w:p>
    <w:p w14:paraId="0F7E9BD3">
      <w:pPr>
        <w:keepNext w:val="0"/>
        <w:keepLines w:val="0"/>
        <w:pageBreakBefore w:val="0"/>
        <w:kinsoku/>
        <w:wordWrap/>
        <w:overflowPunct/>
        <w:topLinePunct w:val="0"/>
        <w:bidi w:val="0"/>
        <w:spacing w:line="360" w:lineRule="auto"/>
        <w:ind w:firstLine="600" w:firstLineChars="25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35.1变更合同价款的方法</w:t>
      </w:r>
    </w:p>
    <w:p w14:paraId="10E39A06">
      <w:pPr>
        <w:keepNext w:val="0"/>
        <w:keepLines w:val="0"/>
        <w:pageBreakBefore w:val="0"/>
        <w:kinsoku/>
        <w:wordWrap/>
        <w:overflowPunct/>
        <w:topLinePunct w:val="0"/>
        <w:bidi w:val="0"/>
        <w:spacing w:line="360" w:lineRule="auto"/>
        <w:ind w:firstLine="600" w:firstLineChars="25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①本工程除施工图纸发生变更、发包人下达的变更通知、经发包人认可的由监理工程师发出的变更指令、发包人指定价材料认质认价单的现场签证外，不再发生变更费用。如承包人更改施工方法，而引起费用增加时，其费用均由承包人负责。</w:t>
      </w:r>
      <w:r>
        <w:rPr>
          <w:rFonts w:hint="eastAsia" w:ascii="宋体" w:hAnsi="宋体" w:eastAsia="宋体" w:cs="宋体"/>
          <w:color w:val="auto"/>
          <w:sz w:val="24"/>
          <w:szCs w:val="24"/>
          <w:highlight w:val="none"/>
          <w:u w:val="single"/>
        </w:rPr>
        <w:t>如果发包人要求承包人变更施工方法，按照住建部16号令属于工程变更的范畴，应按变更程序处理，变更施工方法后增加的费用由发包人承担。</w:t>
      </w:r>
    </w:p>
    <w:p w14:paraId="58D2F84C">
      <w:pPr>
        <w:keepNext w:val="0"/>
        <w:keepLines w:val="0"/>
        <w:pageBreakBefore w:val="0"/>
        <w:kinsoku/>
        <w:wordWrap/>
        <w:overflowPunct/>
        <w:topLinePunct w:val="0"/>
        <w:bidi w:val="0"/>
        <w:spacing w:line="360" w:lineRule="auto"/>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②清单中漏项、新增及变更及签证项目发生时，工程量以实际签证量为准。变更合同价款按下列方法进行：合同</w:t>
      </w:r>
      <w:r>
        <w:rPr>
          <w:rFonts w:hint="eastAsia" w:ascii="宋体" w:hAnsi="宋体" w:eastAsia="宋体" w:cs="宋体"/>
          <w:color w:val="auto"/>
          <w:sz w:val="24"/>
          <w:szCs w:val="24"/>
          <w:highlight w:val="none"/>
          <w:u w:val="single"/>
          <w:lang w:eastAsia="zh-CN"/>
        </w:rPr>
        <w:t>预算</w:t>
      </w:r>
      <w:r>
        <w:rPr>
          <w:rFonts w:hint="eastAsia" w:ascii="宋体" w:hAnsi="宋体" w:eastAsia="宋体" w:cs="宋体"/>
          <w:color w:val="auto"/>
          <w:sz w:val="24"/>
          <w:szCs w:val="24"/>
          <w:highlight w:val="none"/>
          <w:u w:val="single"/>
        </w:rPr>
        <w:t>中已有适用于变更工程的价格，超出部分</w:t>
      </w:r>
      <w:r>
        <w:rPr>
          <w:rFonts w:hint="eastAsia" w:ascii="宋体" w:hAnsi="宋体" w:eastAsia="宋体" w:cs="宋体"/>
          <w:color w:val="auto"/>
          <w:sz w:val="24"/>
          <w:highlight w:val="none"/>
          <w:u w:val="single"/>
        </w:rPr>
        <w:t>按合同已有单价并按合同同等下浮比例下浮后进行结算</w:t>
      </w:r>
      <w:r>
        <w:rPr>
          <w:rFonts w:hint="eastAsia" w:ascii="宋体" w:hAnsi="宋体" w:eastAsia="宋体" w:cs="宋体"/>
          <w:color w:val="auto"/>
          <w:sz w:val="24"/>
          <w:szCs w:val="24"/>
          <w:highlight w:val="none"/>
          <w:u w:val="single"/>
        </w:rPr>
        <w:t>；合同中只有类似于变更工程的价格，</w:t>
      </w:r>
      <w:r>
        <w:rPr>
          <w:rFonts w:hint="eastAsia" w:ascii="宋体" w:hAnsi="宋体" w:eastAsia="宋体" w:cs="宋体"/>
          <w:color w:val="auto"/>
          <w:sz w:val="24"/>
          <w:highlight w:val="none"/>
          <w:u w:val="single"/>
        </w:rPr>
        <w:t>参考合同中类似相应综合单价并按合同同等下浮比例下浮后进行结算</w:t>
      </w:r>
      <w:r>
        <w:rPr>
          <w:rFonts w:hint="eastAsia" w:ascii="宋体" w:hAnsi="宋体" w:eastAsia="宋体" w:cs="宋体"/>
          <w:color w:val="auto"/>
          <w:sz w:val="24"/>
          <w:szCs w:val="24"/>
          <w:highlight w:val="none"/>
          <w:u w:val="single"/>
        </w:rPr>
        <w:t>，若</w:t>
      </w:r>
      <w:r>
        <w:rPr>
          <w:rFonts w:hint="eastAsia" w:ascii="宋体" w:hAnsi="宋体" w:eastAsia="宋体" w:cs="宋体"/>
          <w:color w:val="auto"/>
          <w:sz w:val="24"/>
          <w:szCs w:val="24"/>
          <w:highlight w:val="none"/>
          <w:u w:val="single"/>
          <w:lang w:eastAsia="zh-CN"/>
        </w:rPr>
        <w:t>响应文件</w:t>
      </w:r>
      <w:r>
        <w:rPr>
          <w:rFonts w:hint="eastAsia" w:ascii="宋体" w:hAnsi="宋体" w:eastAsia="宋体" w:cs="宋体"/>
          <w:color w:val="auto"/>
          <w:sz w:val="24"/>
          <w:szCs w:val="24"/>
          <w:highlight w:val="none"/>
          <w:u w:val="single"/>
        </w:rPr>
        <w:t>中无相同主材单价时，则执行经发包人认质认价程序确认的价格，差价只计取安全文明施工措施费、规费和税金，综合单价按</w:t>
      </w:r>
      <w:r>
        <w:rPr>
          <w:rFonts w:hint="eastAsia" w:ascii="宋体" w:hAnsi="宋体" w:eastAsia="宋体" w:cs="宋体"/>
          <w:color w:val="auto"/>
          <w:sz w:val="24"/>
          <w:szCs w:val="24"/>
          <w:highlight w:val="none"/>
          <w:u w:val="single"/>
          <w:lang w:eastAsia="zh-CN"/>
        </w:rPr>
        <w:t>竞争性磋商文件</w:t>
      </w:r>
      <w:r>
        <w:rPr>
          <w:rFonts w:hint="eastAsia" w:ascii="宋体" w:hAnsi="宋体" w:eastAsia="宋体" w:cs="宋体"/>
          <w:color w:val="auto"/>
          <w:sz w:val="24"/>
          <w:szCs w:val="24"/>
          <w:highlight w:val="none"/>
          <w:u w:val="single"/>
        </w:rPr>
        <w:t>编制最高限价综合单价的原则组价</w:t>
      </w:r>
      <w:r>
        <w:rPr>
          <w:rFonts w:hint="eastAsia" w:ascii="宋体" w:hAnsi="宋体" w:eastAsia="宋体" w:cs="宋体"/>
          <w:color w:val="auto"/>
          <w:sz w:val="24"/>
          <w:highlight w:val="none"/>
          <w:u w:val="single"/>
        </w:rPr>
        <w:t>并按合同同等下浮比例下浮后</w:t>
      </w:r>
      <w:r>
        <w:rPr>
          <w:rFonts w:hint="eastAsia" w:ascii="宋体" w:hAnsi="宋体" w:eastAsia="宋体" w:cs="宋体"/>
          <w:color w:val="auto"/>
          <w:sz w:val="24"/>
          <w:szCs w:val="24"/>
          <w:highlight w:val="none"/>
          <w:u w:val="single"/>
        </w:rPr>
        <w:t>并办理结算。</w:t>
      </w:r>
    </w:p>
    <w:p w14:paraId="0751940A">
      <w:pPr>
        <w:keepNext w:val="0"/>
        <w:keepLines w:val="0"/>
        <w:pageBreakBefore w:val="0"/>
        <w:widowControl/>
        <w:kinsoku/>
        <w:wordWrap/>
        <w:overflowPunct/>
        <w:topLinePunct w:val="0"/>
        <w:bidi w:val="0"/>
        <w:spacing w:line="360" w:lineRule="auto"/>
        <w:ind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九、竣工验收与结算</w:t>
      </w:r>
    </w:p>
    <w:p w14:paraId="74F205B5">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36、竣工验收</w:t>
      </w:r>
    </w:p>
    <w:p w14:paraId="5E84945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36.1承包人提供竣工图的约定：</w:t>
      </w:r>
    </w:p>
    <w:p w14:paraId="1EC54487">
      <w:pPr>
        <w:keepNext w:val="0"/>
        <w:keepLines w:val="0"/>
        <w:pageBreakBefore w:val="0"/>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竣工验收合格后一个月内，承包人向发包人提供竣工图</w:t>
      </w:r>
      <w:r>
        <w:rPr>
          <w:rFonts w:hint="eastAsia" w:ascii="宋体" w:hAnsi="宋体" w:cs="宋体"/>
          <w:color w:val="auto"/>
          <w:sz w:val="24"/>
          <w:szCs w:val="24"/>
          <w:highlight w:val="none"/>
          <w:u w:val="single"/>
          <w:lang w:val="en-US" w:eastAsia="zh-CN"/>
        </w:rPr>
        <w:t>五</w:t>
      </w:r>
      <w:r>
        <w:rPr>
          <w:rFonts w:hint="eastAsia" w:ascii="宋体" w:hAnsi="宋体" w:eastAsia="宋体" w:cs="宋体"/>
          <w:color w:val="auto"/>
          <w:sz w:val="24"/>
          <w:szCs w:val="24"/>
          <w:highlight w:val="none"/>
          <w:u w:val="single"/>
        </w:rPr>
        <w:t>套及资料文件</w:t>
      </w:r>
      <w:r>
        <w:rPr>
          <w:rFonts w:hint="eastAsia" w:ascii="宋体" w:hAnsi="宋体" w:cs="宋体"/>
          <w:color w:val="auto"/>
          <w:sz w:val="24"/>
          <w:szCs w:val="24"/>
          <w:highlight w:val="none"/>
          <w:u w:val="single"/>
          <w:lang w:val="en-US" w:eastAsia="zh-CN"/>
        </w:rPr>
        <w:t>三</w:t>
      </w:r>
      <w:r>
        <w:rPr>
          <w:rFonts w:hint="eastAsia" w:ascii="宋体" w:hAnsi="宋体" w:eastAsia="宋体" w:cs="宋体"/>
          <w:color w:val="auto"/>
          <w:sz w:val="24"/>
          <w:szCs w:val="24"/>
          <w:highlight w:val="none"/>
          <w:u w:val="single"/>
        </w:rPr>
        <w:t>套。电子版文件一份。（可以是非CAD版本或电子扫描件）</w:t>
      </w:r>
    </w:p>
    <w:p w14:paraId="74B28EA7">
      <w:pPr>
        <w:keepNext w:val="0"/>
        <w:keepLines w:val="0"/>
        <w:pageBreakBefore w:val="0"/>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36.6中间交工工程的范围和竣工时间：</w:t>
      </w:r>
    </w:p>
    <w:p w14:paraId="6A0E824B">
      <w:pPr>
        <w:keepNext w:val="0"/>
        <w:keepLines w:val="0"/>
        <w:pageBreakBefore w:val="0"/>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竣工验收：承包人按设计院施工图纸（含设计变更）施工，协调与管理部门的关系，负责在甲方要求的时间内完成本项目验收备案及手续办理等工作，确保本项目通过管理部门的验收备案。</w:t>
      </w:r>
    </w:p>
    <w:p w14:paraId="080E9C39">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37、竣工结算</w:t>
      </w:r>
    </w:p>
    <w:p w14:paraId="0CBF0B42">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结算审查期限：</w:t>
      </w:r>
    </w:p>
    <w:p w14:paraId="17544356">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(1)已完工程经验收合格后，承包人应在</w:t>
      </w:r>
      <w:r>
        <w:rPr>
          <w:rFonts w:hint="eastAsia" w:ascii="宋体" w:hAnsi="宋体" w:cs="宋体"/>
          <w:color w:val="auto"/>
          <w:sz w:val="24"/>
          <w:szCs w:val="24"/>
          <w:highlight w:val="none"/>
          <w:u w:val="single"/>
          <w:lang w:val="en-US" w:eastAsia="zh-CN"/>
        </w:rPr>
        <w:t>10</w:t>
      </w:r>
      <w:r>
        <w:rPr>
          <w:rFonts w:hint="eastAsia" w:ascii="宋体" w:hAnsi="宋体" w:eastAsia="宋体" w:cs="宋体"/>
          <w:color w:val="auto"/>
          <w:sz w:val="24"/>
          <w:szCs w:val="24"/>
          <w:highlight w:val="none"/>
          <w:u w:val="single"/>
        </w:rPr>
        <w:t>天内将完整的工程结算资料（含</w:t>
      </w:r>
      <w:r>
        <w:rPr>
          <w:rFonts w:hint="eastAsia" w:ascii="宋体" w:hAnsi="宋体" w:cs="宋体"/>
          <w:color w:val="auto"/>
          <w:sz w:val="24"/>
          <w:szCs w:val="24"/>
          <w:highlight w:val="none"/>
          <w:u w:val="single"/>
          <w:lang w:val="en-US" w:eastAsia="zh-CN"/>
        </w:rPr>
        <w:t>五</w:t>
      </w:r>
      <w:r>
        <w:rPr>
          <w:rFonts w:hint="eastAsia" w:ascii="宋体" w:hAnsi="宋体" w:eastAsia="宋体" w:cs="宋体"/>
          <w:color w:val="auto"/>
          <w:sz w:val="24"/>
          <w:szCs w:val="24"/>
          <w:highlight w:val="none"/>
          <w:u w:val="single"/>
        </w:rPr>
        <w:t>套竣工图）报送监理单位，监理单位应在15日内对所收到的结算资料的完整正确性进行审核无误后报送发包人，发包人在收到结算资料后60天内审核完毕，或提出审核意见。承包人应在收到审核意见后3日内修改完毕重新报送审核，所需费用承包人自行承担。</w:t>
      </w:r>
    </w:p>
    <w:p w14:paraId="49355C68">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(2)承包人在竣工后40天内不报送结算资料，延误监理单位、发包人审核时间，造成工程款不能及时支付，责任由承包人自负。</w:t>
      </w:r>
    </w:p>
    <w:p w14:paraId="353F66F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(3)承包人应认真编制工程结算书，不得弄虚作假，结算审核的基本审核费由发包人支付，审核成果费正负5%以内核减费由由发包人支付，超出正负5%核减费由承包人承担。</w:t>
      </w:r>
    </w:p>
    <w:p w14:paraId="6AD4DE74">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十、违约、索赔和争议</w:t>
      </w:r>
    </w:p>
    <w:p w14:paraId="10E24A71">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39、违约</w:t>
      </w:r>
    </w:p>
    <w:p w14:paraId="4F92559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39.1本合同中关于发包人违约的具体责任如下：</w:t>
      </w:r>
    </w:p>
    <w:p w14:paraId="0F9E6560">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本合同通用条款第28.1条约定发包人违约应承担的违约责任：</w:t>
      </w:r>
      <w:r>
        <w:rPr>
          <w:rFonts w:hint="eastAsia" w:ascii="宋体" w:hAnsi="宋体" w:eastAsia="宋体" w:cs="宋体"/>
          <w:color w:val="auto"/>
          <w:kern w:val="0"/>
          <w:sz w:val="24"/>
          <w:szCs w:val="24"/>
          <w:highlight w:val="none"/>
          <w:u w:val="single"/>
        </w:rPr>
        <w:t xml:space="preserve">执行通用条款第28.1条  </w:t>
      </w:r>
    </w:p>
    <w:p w14:paraId="4450B48D">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本合同通用条款第30.5条约定发包人违约应承担的违约责任：</w:t>
      </w:r>
      <w:r>
        <w:rPr>
          <w:rFonts w:hint="eastAsia" w:ascii="宋体" w:hAnsi="宋体" w:eastAsia="宋体" w:cs="宋体"/>
          <w:color w:val="auto"/>
          <w:kern w:val="0"/>
          <w:sz w:val="24"/>
          <w:szCs w:val="24"/>
          <w:highlight w:val="none"/>
          <w:u w:val="single"/>
        </w:rPr>
        <w:t>执行《通用条款》30.4条</w:t>
      </w:r>
    </w:p>
    <w:p w14:paraId="51E16C16">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本合同通用条款第37.6条约定发包人违约应承担的违约责任：</w:t>
      </w:r>
      <w:r>
        <w:rPr>
          <w:rFonts w:hint="eastAsia" w:ascii="宋体" w:hAnsi="宋体" w:eastAsia="宋体" w:cs="宋体"/>
          <w:color w:val="auto"/>
          <w:kern w:val="0"/>
          <w:sz w:val="24"/>
          <w:szCs w:val="24"/>
          <w:highlight w:val="none"/>
          <w:u w:val="single"/>
        </w:rPr>
        <w:t>执行《通用条款》37.8条</w:t>
      </w:r>
    </w:p>
    <w:p w14:paraId="0D02D5B3">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双方约定的发包人其他违约责任：</w:t>
      </w:r>
      <w:r>
        <w:rPr>
          <w:rFonts w:hint="eastAsia" w:ascii="宋体" w:hAnsi="宋体" w:eastAsia="宋体" w:cs="宋体"/>
          <w:color w:val="auto"/>
          <w:kern w:val="0"/>
          <w:sz w:val="24"/>
          <w:szCs w:val="24"/>
          <w:highlight w:val="none"/>
          <w:u w:val="single"/>
        </w:rPr>
        <w:t xml:space="preserve">   无  </w:t>
      </w:r>
    </w:p>
    <w:p w14:paraId="2350B1C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39.2本合同中关于承包人违约的具体责任如下：</w:t>
      </w:r>
    </w:p>
    <w:p w14:paraId="26F34296">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本合同通用条款第14.2款约定承包人违约承担的违约责任：</w:t>
      </w:r>
      <w:r>
        <w:rPr>
          <w:rFonts w:hint="eastAsia" w:ascii="宋体" w:hAnsi="宋体" w:eastAsia="宋体" w:cs="宋体"/>
          <w:color w:val="auto"/>
          <w:kern w:val="0"/>
          <w:sz w:val="24"/>
          <w:szCs w:val="24"/>
          <w:highlight w:val="none"/>
          <w:u w:val="single"/>
        </w:rPr>
        <w:t>承包人延误工期或违反工程进度/施工组织设计的、或未按甲方要求时间完成本项目验收备案及手续办理等工作的，每逾期一日，承包人应承担合同暂定总价1‰的违约金，逾期超过20日，发包人有权解除合同，无需诉诸司法机关，同时承包人应承担合同暂定总价款10%的合同解除违约金，如该违约金不足以弥补因此而给发包人造成的全部损失，承包人还应予以补足。</w:t>
      </w:r>
    </w:p>
    <w:p w14:paraId="588402AF">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本合同通用条款第15.1款约定承包人违约应承担的违约责任：</w:t>
      </w:r>
      <w:r>
        <w:rPr>
          <w:rFonts w:hint="eastAsia" w:ascii="宋体" w:hAnsi="宋体" w:eastAsia="宋体" w:cs="宋体"/>
          <w:color w:val="auto"/>
          <w:kern w:val="0"/>
          <w:sz w:val="24"/>
          <w:szCs w:val="24"/>
          <w:highlight w:val="none"/>
          <w:u w:val="single"/>
        </w:rPr>
        <w:t>工程质量达不到合格标准，除免费整改至合格外，承包人还应按合同暂定总价的10%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程质量违约金，工程质量违约金最高限额为合同暂定总价的10%。如该违约金不能涵盖发包人实际损失，则承包人仍应就实际损失部分承担损害赔偿责任。</w:t>
      </w:r>
    </w:p>
    <w:p w14:paraId="64EA1FF5">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双方约定的承包人其他违约责任：</w:t>
      </w:r>
      <w:r>
        <w:rPr>
          <w:rFonts w:hint="eastAsia" w:ascii="宋体" w:hAnsi="宋体" w:eastAsia="宋体" w:cs="宋体"/>
          <w:color w:val="auto"/>
          <w:kern w:val="0"/>
          <w:sz w:val="24"/>
          <w:szCs w:val="24"/>
          <w:highlight w:val="none"/>
          <w:u w:val="single"/>
        </w:rPr>
        <w:t>承包人违法或违反本合同将工程转包的，发包人有权解除本合同，承包人应赔偿因此给发包人造成的一切损失</w:t>
      </w:r>
      <w:r>
        <w:rPr>
          <w:rFonts w:hint="eastAsia" w:ascii="宋体" w:hAnsi="宋体" w:eastAsia="宋体" w:cs="宋体"/>
          <w:color w:val="auto"/>
          <w:kern w:val="0"/>
          <w:sz w:val="24"/>
          <w:szCs w:val="24"/>
          <w:highlight w:val="none"/>
        </w:rPr>
        <w:t>。</w:t>
      </w:r>
    </w:p>
    <w:p w14:paraId="65FA95A0">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41、争议</w:t>
      </w:r>
    </w:p>
    <w:p w14:paraId="0CCE7CF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41.1双方当事人约定，在履行合同过程中产生争议时：</w:t>
      </w:r>
    </w:p>
    <w:p w14:paraId="56FFB5A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（1）请</w:t>
      </w:r>
      <w:r>
        <w:rPr>
          <w:rFonts w:hint="eastAsia" w:ascii="宋体" w:hAnsi="宋体" w:eastAsia="宋体" w:cs="宋体"/>
          <w:color w:val="auto"/>
          <w:kern w:val="0"/>
          <w:sz w:val="24"/>
          <w:szCs w:val="24"/>
          <w:highlight w:val="none"/>
          <w:u w:val="single"/>
        </w:rPr>
        <w:t>当地合同主管</w:t>
      </w:r>
      <w:r>
        <w:rPr>
          <w:rFonts w:hint="eastAsia" w:ascii="宋体" w:hAnsi="宋体" w:eastAsia="宋体" w:cs="宋体"/>
          <w:color w:val="auto"/>
          <w:sz w:val="24"/>
          <w:szCs w:val="24"/>
          <w:highlight w:val="none"/>
          <w:u w:val="single"/>
        </w:rPr>
        <w:t>部门和造价主管部门</w:t>
      </w:r>
      <w:r>
        <w:rPr>
          <w:rFonts w:hint="eastAsia" w:ascii="宋体" w:hAnsi="宋体" w:eastAsia="宋体" w:cs="宋体"/>
          <w:color w:val="auto"/>
          <w:kern w:val="0"/>
          <w:sz w:val="24"/>
          <w:szCs w:val="24"/>
          <w:highlight w:val="none"/>
        </w:rPr>
        <w:t>调解；</w:t>
      </w:r>
    </w:p>
    <w:p w14:paraId="2F9F224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（2）合同争议调解不成的，按下列第</w:t>
      </w:r>
      <w:r>
        <w:rPr>
          <w:rFonts w:hint="eastAsia" w:ascii="宋体" w:hAnsi="宋体" w:eastAsia="宋体" w:cs="宋体"/>
          <w:color w:val="auto"/>
          <w:kern w:val="0"/>
          <w:sz w:val="24"/>
          <w:szCs w:val="24"/>
          <w:highlight w:val="none"/>
          <w:u w:val="single"/>
        </w:rPr>
        <w:t xml:space="preserve">   ②    </w:t>
      </w:r>
      <w:r>
        <w:rPr>
          <w:rFonts w:hint="eastAsia" w:ascii="宋体" w:hAnsi="宋体" w:eastAsia="宋体" w:cs="宋体"/>
          <w:color w:val="auto"/>
          <w:kern w:val="0"/>
          <w:sz w:val="24"/>
          <w:szCs w:val="24"/>
          <w:highlight w:val="none"/>
        </w:rPr>
        <w:t>种方式解决：</w:t>
      </w:r>
    </w:p>
    <w:p w14:paraId="271ACFC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① 提交</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仲裁委员会申请仲裁；</w:t>
      </w:r>
    </w:p>
    <w:p w14:paraId="7F63B559">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② 依法向</w:t>
      </w:r>
      <w:r>
        <w:rPr>
          <w:rFonts w:hint="eastAsia" w:ascii="宋体" w:hAnsi="宋体" w:eastAsia="宋体" w:cs="宋体"/>
          <w:color w:val="auto"/>
          <w:kern w:val="0"/>
          <w:sz w:val="24"/>
          <w:szCs w:val="24"/>
          <w:highlight w:val="none"/>
          <w:u w:val="single"/>
        </w:rPr>
        <w:t xml:space="preserve">  西安市</w:t>
      </w:r>
      <w:r>
        <w:rPr>
          <w:rFonts w:hint="eastAsia" w:ascii="宋体" w:hAnsi="宋体" w:eastAsia="宋体" w:cs="宋体"/>
          <w:color w:val="auto"/>
          <w:kern w:val="0"/>
          <w:sz w:val="24"/>
          <w:szCs w:val="24"/>
          <w:highlight w:val="none"/>
          <w:u w:val="single"/>
          <w:lang w:eastAsia="zh-CN"/>
        </w:rPr>
        <w:t>莲湖区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人民法院提起诉讼。</w:t>
      </w:r>
    </w:p>
    <w:p w14:paraId="019EABC7">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十一、其他</w:t>
      </w:r>
    </w:p>
    <w:p w14:paraId="0876E77C">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42、工程分包</w:t>
      </w:r>
    </w:p>
    <w:p w14:paraId="21C52C15">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42.1本工程发包人同意承包人分包的专业工程：</w:t>
      </w:r>
      <w:r>
        <w:rPr>
          <w:rFonts w:hint="eastAsia" w:ascii="宋体" w:hAnsi="宋体" w:eastAsia="宋体" w:cs="宋体"/>
          <w:color w:val="auto"/>
          <w:kern w:val="0"/>
          <w:sz w:val="24"/>
          <w:szCs w:val="24"/>
          <w:highlight w:val="none"/>
          <w:u w:val="single"/>
        </w:rPr>
        <w:t xml:space="preserve">   ／  </w:t>
      </w:r>
    </w:p>
    <w:p w14:paraId="7E15DD2C">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分包施工单位为：</w:t>
      </w:r>
      <w:r>
        <w:rPr>
          <w:rFonts w:hint="eastAsia" w:ascii="宋体" w:hAnsi="宋体" w:eastAsia="宋体" w:cs="宋体"/>
          <w:color w:val="auto"/>
          <w:kern w:val="0"/>
          <w:sz w:val="24"/>
          <w:szCs w:val="24"/>
          <w:highlight w:val="none"/>
          <w:u w:val="single"/>
        </w:rPr>
        <w:t xml:space="preserve">   ／  </w:t>
      </w:r>
    </w:p>
    <w:p w14:paraId="3E62BEF8">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43、不可抗力</w:t>
      </w:r>
    </w:p>
    <w:p w14:paraId="3DD81CE3">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43.1双方关于不可抗力的约定：</w:t>
      </w:r>
      <w:r>
        <w:rPr>
          <w:rFonts w:hint="eastAsia" w:ascii="宋体" w:hAnsi="宋体" w:eastAsia="宋体" w:cs="宋体"/>
          <w:bCs/>
          <w:color w:val="auto"/>
          <w:kern w:val="0"/>
          <w:sz w:val="24"/>
          <w:szCs w:val="24"/>
          <w:highlight w:val="none"/>
          <w:u w:val="single"/>
        </w:rPr>
        <w:t>执行《通用条款》；由于发生30年以上一遇的天气引起的洪水灾害，雪灾和风灾造成对工程的影响，经国家有关部门鉴定后可按不可抗力对待；发生破坏性地震的属于不可抗力事件。</w:t>
      </w:r>
    </w:p>
    <w:p w14:paraId="08953AE1">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44、保险</w:t>
      </w:r>
    </w:p>
    <w:p w14:paraId="1B14A066">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44.6本工程双方约定投保内容如下：</w:t>
      </w:r>
    </w:p>
    <w:p w14:paraId="700B1BE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（1）发包人投保内容：</w:t>
      </w:r>
      <w:r>
        <w:rPr>
          <w:rFonts w:hint="eastAsia" w:ascii="宋体" w:hAnsi="宋体" w:eastAsia="宋体" w:cs="宋体"/>
          <w:color w:val="auto"/>
          <w:kern w:val="0"/>
          <w:sz w:val="24"/>
          <w:szCs w:val="24"/>
          <w:highlight w:val="none"/>
          <w:u w:val="single"/>
        </w:rPr>
        <w:t xml:space="preserve">执行《通用条款》44.1、44.2条。 </w:t>
      </w:r>
    </w:p>
    <w:p w14:paraId="0604E043">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（2）承包人投保内容：</w:t>
      </w:r>
      <w:r>
        <w:rPr>
          <w:rFonts w:hint="eastAsia" w:ascii="宋体" w:hAnsi="宋体" w:eastAsia="宋体" w:cs="宋体"/>
          <w:color w:val="auto"/>
          <w:kern w:val="0"/>
          <w:sz w:val="24"/>
          <w:szCs w:val="24"/>
          <w:highlight w:val="none"/>
          <w:u w:val="single"/>
        </w:rPr>
        <w:t>执行《通用条款》44.4条。</w:t>
      </w:r>
    </w:p>
    <w:p w14:paraId="0E01A855">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45、担保</w:t>
      </w:r>
    </w:p>
    <w:p w14:paraId="29F60900">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45.3本工程双方约定担保事项如下：</w:t>
      </w:r>
    </w:p>
    <w:p w14:paraId="5B651D3D">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承包人向发包人提供履约担保，担保方式为：</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，担保金额：</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，担保有效期：</w:t>
      </w:r>
      <w:r>
        <w:rPr>
          <w:rFonts w:hint="eastAsia" w:ascii="宋体" w:hAnsi="宋体" w:eastAsia="宋体" w:cs="宋体"/>
          <w:color w:val="auto"/>
          <w:kern w:val="0"/>
          <w:sz w:val="24"/>
          <w:szCs w:val="24"/>
          <w:highlight w:val="none"/>
          <w:u w:val="single"/>
        </w:rPr>
        <w:t xml:space="preserve"> /。</w:t>
      </w:r>
    </w:p>
    <w:p w14:paraId="5D7104F3">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 xml:space="preserve"> (3)双方约定的其他担保事项：</w:t>
      </w:r>
      <w:r>
        <w:rPr>
          <w:rFonts w:hint="eastAsia" w:ascii="宋体" w:hAnsi="宋体" w:eastAsia="宋体" w:cs="宋体"/>
          <w:color w:val="auto"/>
          <w:kern w:val="0"/>
          <w:sz w:val="24"/>
          <w:szCs w:val="24"/>
          <w:highlight w:val="none"/>
          <w:u w:val="single"/>
        </w:rPr>
        <w:t xml:space="preserve">  /。</w:t>
      </w:r>
    </w:p>
    <w:p w14:paraId="68776425">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50、合同份数</w:t>
      </w:r>
    </w:p>
    <w:p w14:paraId="787AE6FC">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双方约定合同份数：本合同正本贰份，发包人执壹份，承包人执壹份；副本捌份，发包人执肆份，承包人执肆份。正副本不一致的以正本为准。</w:t>
      </w:r>
    </w:p>
    <w:p w14:paraId="24396F9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51、补充条款</w:t>
      </w:r>
    </w:p>
    <w:p w14:paraId="22988673">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51.1须严格执行工程所在地的工程建设相关管理规定。</w:t>
      </w:r>
    </w:p>
    <w:p w14:paraId="2BF64389">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51.2监理工程师受发包人委托，在所规定的职责范围内对工程实施监理，包括检查、签证、发出通知、指令等，承包方必须服从、接受并配合监理工程师的工作。</w:t>
      </w:r>
    </w:p>
    <w:p w14:paraId="1D113C0D">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51.3 承包人招聘的农民工的工资，发包人有权监督承包人在发包人支付的当期进度款中发放农民工工资。发包人每月支付工程进度款前，承包人须向发包人提供上月农民工工资发放的情况说明或农民工工资发放表备案。如承包人未按时发放农民工工资，则发包人有权在工程进度款中扣除承包人欠付农民工工资，并将该工资直接发放给农民工。承包人应按发包人向农民工发放工资金额的50%向发包人支付违约金，发包人有权在工程进度款中一并扣除该项违约金。</w:t>
      </w:r>
    </w:p>
    <w:p w14:paraId="0D35D2FF">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51.4 承包人应及时按发包人规定办理现场工程经济签证单、材料认质认价单，未按发包人规定（签证实施后14天内）办理签字确认手续的签证单、认质认价单，结算时发包人不予认可。本工程发生的变更签证工作量，按照合同条款的约定计价。</w:t>
      </w:r>
    </w:p>
    <w:p w14:paraId="2A4DDD24">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51.5 承包人必须达到创卫的标准，严格按创卫标准施工，设立专用垃圾场，不得在施工区内任意堆放或乱倒垃圾，定期将建筑垃圾清理外运。本工程竣工后，承包人应将施工现场周围和生活区周围的垃圾及时清运出场，做到工完、料净、场地清。否则发包人将组织清运，所发生费用在工程结算款中予以扣除。同时，因违反本条规定导致的罚款和法律责任，均由承包人自行承担。</w:t>
      </w:r>
    </w:p>
    <w:p w14:paraId="2117EF46">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51.6 施工过程中，资料和工程进度必须同步。每月发包人对施工进度和资料进行检查，若出现问题承包人应按照发包人要求限期整改，且整改费用由承包人自行承担。否则承包人每次应支付1000元人民币的违约金。在工程竣工验收前，承包人要按规定将竣工资料交监理工程师验收，由监理工程师出据相应证明后，发包人方可组织验收。</w:t>
      </w:r>
    </w:p>
    <w:p w14:paraId="6787AE44">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51.7承包人安全管理人员必须持证上岗，并负责检查现场和施工人员安全情况，如监理单位和发包人发现有不安全因素存在，经指出仍未按期纠正的，承包人每次应支付500元人民币的违约金；出现安全事故，承包人自行承担责任和费用。</w:t>
      </w:r>
    </w:p>
    <w:p w14:paraId="3F1CFBC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51.8承包人现场用电必须符合国家现行规范要求。如因承包人未按要求用电，造成的纠纷、损失和法律责任，均由承包人自行承担。</w:t>
      </w:r>
    </w:p>
    <w:p w14:paraId="3D724331">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51.9 承包人安排的人员必须和</w:t>
      </w:r>
      <w:r>
        <w:rPr>
          <w:rFonts w:hint="eastAsia" w:ascii="宋体" w:hAnsi="宋体" w:eastAsia="宋体" w:cs="宋体"/>
          <w:color w:val="auto"/>
          <w:kern w:val="0"/>
          <w:sz w:val="24"/>
          <w:szCs w:val="24"/>
          <w:highlight w:val="none"/>
          <w:u w:val="single"/>
          <w:lang w:eastAsia="zh-CN"/>
        </w:rPr>
        <w:t>响应文件</w:t>
      </w:r>
      <w:r>
        <w:rPr>
          <w:rFonts w:hint="eastAsia" w:ascii="宋体" w:hAnsi="宋体" w:eastAsia="宋体" w:cs="宋体"/>
          <w:color w:val="auto"/>
          <w:kern w:val="0"/>
          <w:sz w:val="24"/>
          <w:szCs w:val="24"/>
          <w:highlight w:val="none"/>
          <w:u w:val="single"/>
        </w:rPr>
        <w:t>施工组织设计所列人员及设备配置相符，在施工中未经发包人同意不能更换，安排主要设备配置必须和</w:t>
      </w:r>
      <w:r>
        <w:rPr>
          <w:rFonts w:hint="eastAsia" w:ascii="宋体" w:hAnsi="宋体" w:eastAsia="宋体" w:cs="宋体"/>
          <w:color w:val="auto"/>
          <w:kern w:val="0"/>
          <w:sz w:val="24"/>
          <w:szCs w:val="24"/>
          <w:highlight w:val="none"/>
          <w:u w:val="single"/>
          <w:lang w:eastAsia="zh-CN"/>
        </w:rPr>
        <w:t>响应文件</w:t>
      </w:r>
      <w:r>
        <w:rPr>
          <w:rFonts w:hint="eastAsia" w:ascii="宋体" w:hAnsi="宋体" w:eastAsia="宋体" w:cs="宋体"/>
          <w:color w:val="auto"/>
          <w:kern w:val="0"/>
          <w:sz w:val="24"/>
          <w:szCs w:val="24"/>
          <w:highlight w:val="none"/>
          <w:u w:val="single"/>
        </w:rPr>
        <w:t>施工组织设计设备配置相符，并应如数用于本工程,否则发包人将对承包人处以工程总价1%的罚款。</w:t>
      </w:r>
    </w:p>
    <w:p w14:paraId="2F7CD6A2">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51.10发包人资金遇到困难，未能按时付款，承包人承诺在未收到工程进度款的情况下，两个月内应保证正常施工。</w:t>
      </w:r>
    </w:p>
    <w:p w14:paraId="67544676">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51.11施工中如遇到现场不具备施工条件时，不增加材料设备二次或多次倒运费。</w:t>
      </w:r>
    </w:p>
    <w:p w14:paraId="3E2A6A71">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51.12 承包人负责协调施工区域和当地村民的关系，不得以村民阻挠影响施工为由要求顺延工期或主张免除、减轻相应的违约责任，并承担由此产生的一切费用。</w:t>
      </w:r>
    </w:p>
    <w:p w14:paraId="590F51D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51.13 如承包人不能按合同规定的工期、质量、施工进度履行其义务，发包人认为工程进度缓慢、施工质量不能达到规定的质量要求，发包人有权解除合同，并以书面形式通知承包人合同即解除，无须诉诸司法机关或采取其他措施。</w:t>
      </w:r>
    </w:p>
    <w:p w14:paraId="3FD21CC1">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51.14承包人签署《农民工工资按时发放承诺书》、《现场施工环境综合整治及扬尘污染治理承诺书》发包人、承包人、签订《工程质量保修书》、《施工安全生产合同书》、《工程项目廉政承诺书》。</w:t>
      </w:r>
    </w:p>
    <w:p w14:paraId="42BC545D">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51.15承包人将工程交付发包人后，除有关保修条款仍然有效外，其他条款即告终止，保修期满，并结清余款后有关保修条款终止。</w:t>
      </w:r>
    </w:p>
    <w:p w14:paraId="1C33BD0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51.16本合同未尽事宜，各方另行协商解决或签订补充合同。</w:t>
      </w:r>
    </w:p>
    <w:p w14:paraId="6C3863B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51.1</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rPr>
        <w:t>本合同附件与本合同具有同等法律效力</w:t>
      </w:r>
    </w:p>
    <w:p w14:paraId="6D2BB1A1">
      <w:pPr>
        <w:pStyle w:val="5"/>
        <w:keepNext w:val="0"/>
        <w:keepLines w:val="0"/>
        <w:pageBreakBefore w:val="0"/>
        <w:kinsoku/>
        <w:wordWrap/>
        <w:overflowPunct/>
        <w:topLinePunct w:val="0"/>
        <w:bidi w:val="0"/>
        <w:spacing w:line="360" w:lineRule="auto"/>
        <w:ind w:left="0" w:leftChars="0" w:firstLine="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392E063">
      <w:pPr>
        <w:keepNext w:val="0"/>
        <w:keepLines w:val="0"/>
        <w:pageBreakBefore w:val="0"/>
        <w:widowControl/>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附件1：承包人承揽工程项目一览表</w:t>
      </w:r>
    </w:p>
    <w:p w14:paraId="36BD39D6">
      <w:pPr>
        <w:keepNext w:val="0"/>
        <w:keepLines w:val="0"/>
        <w:pageBreakBefore w:val="0"/>
        <w:widowControl/>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附件2：发包人供应材料设备一览表</w:t>
      </w:r>
    </w:p>
    <w:p w14:paraId="30EDA786">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附件3：招标人暂定价格明细表</w:t>
      </w:r>
    </w:p>
    <w:p w14:paraId="24AD0BD5">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附件4：建设工程安全防护、文明施工措施项目明细</w:t>
      </w:r>
    </w:p>
    <w:p w14:paraId="2EAE73C5">
      <w:pPr>
        <w:keepNext w:val="0"/>
        <w:keepLines w:val="0"/>
        <w:pageBreakBefore w:val="0"/>
        <w:widowControl/>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附件5：农民工工资按时发放承诺书</w:t>
      </w:r>
    </w:p>
    <w:p w14:paraId="4929A746">
      <w:pPr>
        <w:keepNext w:val="0"/>
        <w:keepLines w:val="0"/>
        <w:pageBreakBefore w:val="0"/>
        <w:widowControl/>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附件6：现场施工环境综合整治及扬尘污染治理承诺书</w:t>
      </w:r>
    </w:p>
    <w:p w14:paraId="5DF496DD">
      <w:pPr>
        <w:keepNext w:val="0"/>
        <w:keepLines w:val="0"/>
        <w:pageBreakBefore w:val="0"/>
        <w:widowControl/>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附件7：工程质量保修书</w:t>
      </w:r>
    </w:p>
    <w:p w14:paraId="755DCDB6">
      <w:pPr>
        <w:keepNext w:val="0"/>
        <w:keepLines w:val="0"/>
        <w:pageBreakBefore w:val="0"/>
        <w:widowControl/>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附件8：施工安全生产合同书</w:t>
      </w:r>
    </w:p>
    <w:p w14:paraId="6F390C82">
      <w:pPr>
        <w:keepNext w:val="0"/>
        <w:keepLines w:val="0"/>
        <w:pageBreakBefore w:val="0"/>
        <w:widowControl/>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附件9：工程项目廉政承诺书</w:t>
      </w:r>
    </w:p>
    <w:p w14:paraId="2B5E4032">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color w:val="auto"/>
          <w:highlight w:val="none"/>
        </w:rPr>
      </w:pPr>
      <w:r>
        <w:rPr>
          <w:rFonts w:hint="eastAsia" w:ascii="宋体" w:hAnsi="宋体"/>
          <w:color w:val="auto"/>
          <w:highlight w:val="none"/>
        </w:rPr>
        <w:t xml:space="preserve"> </w:t>
      </w:r>
    </w:p>
    <w:p w14:paraId="298007DA">
      <w:pPr>
        <w:keepNext w:val="0"/>
        <w:keepLines w:val="0"/>
        <w:pageBreakBefore w:val="0"/>
        <w:widowControl/>
        <w:kinsoku/>
        <w:wordWrap/>
        <w:overflowPunct/>
        <w:topLinePunct w:val="0"/>
        <w:bidi w:val="0"/>
        <w:spacing w:line="360" w:lineRule="auto"/>
        <w:textAlignment w:val="auto"/>
        <w:rPr>
          <w:rFonts w:hint="eastAsia" w:ascii="宋体" w:hAnsi="宋体"/>
          <w:color w:val="auto"/>
          <w:kern w:val="0"/>
          <w:highlight w:val="none"/>
        </w:rPr>
      </w:pPr>
      <w:r>
        <w:rPr>
          <w:rFonts w:hint="eastAsia" w:ascii="宋体" w:hAnsi="宋体"/>
          <w:color w:val="auto"/>
          <w:kern w:val="0"/>
          <w:highlight w:val="none"/>
        </w:rPr>
        <w:t xml:space="preserve"> </w:t>
      </w:r>
    </w:p>
    <w:p w14:paraId="481FFF60">
      <w:pPr>
        <w:keepNext w:val="0"/>
        <w:keepLines w:val="0"/>
        <w:pageBreakBefore w:val="0"/>
        <w:widowControl/>
        <w:kinsoku/>
        <w:wordWrap/>
        <w:overflowPunct/>
        <w:topLinePunct w:val="0"/>
        <w:bidi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color w:val="auto"/>
          <w:kern w:val="0"/>
          <w:highlight w:val="none"/>
        </w:rPr>
        <w:br w:type="page"/>
      </w:r>
      <w:r>
        <w:rPr>
          <w:rFonts w:hint="eastAsia" w:ascii="宋体" w:hAnsi="宋体" w:eastAsia="宋体" w:cs="宋体"/>
          <w:color w:val="auto"/>
          <w:kern w:val="0"/>
          <w:sz w:val="24"/>
          <w:szCs w:val="24"/>
          <w:highlight w:val="none"/>
        </w:rPr>
        <w:t>附件1：</w:t>
      </w:r>
    </w:p>
    <w:p w14:paraId="7E41C1D3">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rPr>
        <w:t>承包人承揽工程项目一览表</w:t>
      </w:r>
    </w:p>
    <w:tbl>
      <w:tblPr>
        <w:tblStyle w:val="8"/>
        <w:tblW w:w="91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2"/>
        <w:gridCol w:w="1229"/>
        <w:gridCol w:w="709"/>
        <w:gridCol w:w="638"/>
        <w:gridCol w:w="1105"/>
        <w:gridCol w:w="1417"/>
        <w:gridCol w:w="1388"/>
        <w:gridCol w:w="1306"/>
      </w:tblGrid>
      <w:tr w14:paraId="09057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532A0C78">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单位工程名称</w:t>
            </w:r>
          </w:p>
        </w:tc>
        <w:tc>
          <w:tcPr>
            <w:tcW w:w="1229" w:type="dxa"/>
            <w:tcBorders>
              <w:top w:val="single" w:color="auto" w:sz="4" w:space="0"/>
              <w:left w:val="single" w:color="auto" w:sz="4" w:space="0"/>
              <w:bottom w:val="single" w:color="auto" w:sz="4" w:space="0"/>
              <w:right w:val="single" w:color="auto" w:sz="4" w:space="0"/>
            </w:tcBorders>
            <w:noWrap w:val="0"/>
            <w:vAlign w:val="center"/>
          </w:tcPr>
          <w:p w14:paraId="25872B3D">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建设</w:t>
            </w:r>
          </w:p>
          <w:p w14:paraId="05910027">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规模</w:t>
            </w:r>
          </w:p>
        </w:tc>
        <w:tc>
          <w:tcPr>
            <w:tcW w:w="709" w:type="dxa"/>
            <w:tcBorders>
              <w:top w:val="single" w:color="auto" w:sz="4" w:space="0"/>
              <w:left w:val="single" w:color="auto" w:sz="4" w:space="0"/>
              <w:bottom w:val="single" w:color="auto" w:sz="4" w:space="0"/>
              <w:right w:val="single" w:color="auto" w:sz="4" w:space="0"/>
            </w:tcBorders>
            <w:noWrap w:val="0"/>
            <w:vAlign w:val="center"/>
          </w:tcPr>
          <w:p w14:paraId="6A813999">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建筑</w:t>
            </w:r>
          </w:p>
          <w:p w14:paraId="58E047D0">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面积</w:t>
            </w:r>
          </w:p>
        </w:tc>
        <w:tc>
          <w:tcPr>
            <w:tcW w:w="638" w:type="dxa"/>
            <w:tcBorders>
              <w:top w:val="single" w:color="auto" w:sz="4" w:space="0"/>
              <w:left w:val="single" w:color="auto" w:sz="4" w:space="0"/>
              <w:bottom w:val="single" w:color="auto" w:sz="4" w:space="0"/>
              <w:right w:val="single" w:color="auto" w:sz="4" w:space="0"/>
            </w:tcBorders>
            <w:noWrap w:val="0"/>
            <w:vAlign w:val="center"/>
          </w:tcPr>
          <w:p w14:paraId="28433B08">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结构</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065372AD">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设备安装内容</w:t>
            </w:r>
          </w:p>
        </w:tc>
        <w:tc>
          <w:tcPr>
            <w:tcW w:w="1417" w:type="dxa"/>
            <w:tcBorders>
              <w:top w:val="single" w:color="auto" w:sz="4" w:space="0"/>
              <w:left w:val="single" w:color="auto" w:sz="4" w:space="0"/>
              <w:bottom w:val="single" w:color="auto" w:sz="4" w:space="0"/>
              <w:right w:val="single" w:color="auto" w:sz="4" w:space="0"/>
            </w:tcBorders>
            <w:noWrap w:val="0"/>
            <w:vAlign w:val="center"/>
          </w:tcPr>
          <w:p w14:paraId="1C54E512">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工程造价（元）</w:t>
            </w:r>
          </w:p>
        </w:tc>
        <w:tc>
          <w:tcPr>
            <w:tcW w:w="1388" w:type="dxa"/>
            <w:tcBorders>
              <w:top w:val="single" w:color="auto" w:sz="4" w:space="0"/>
              <w:left w:val="single" w:color="auto" w:sz="4" w:space="0"/>
              <w:bottom w:val="single" w:color="auto" w:sz="4" w:space="0"/>
              <w:right w:val="single" w:color="auto" w:sz="4" w:space="0"/>
            </w:tcBorders>
            <w:noWrap w:val="0"/>
            <w:vAlign w:val="center"/>
          </w:tcPr>
          <w:p w14:paraId="12E24B89">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开工</w:t>
            </w:r>
          </w:p>
          <w:p w14:paraId="5FA0A8A5">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tc>
        <w:tc>
          <w:tcPr>
            <w:tcW w:w="1306" w:type="dxa"/>
            <w:tcBorders>
              <w:top w:val="single" w:color="auto" w:sz="4" w:space="0"/>
              <w:left w:val="single" w:color="auto" w:sz="4" w:space="0"/>
              <w:bottom w:val="single" w:color="auto" w:sz="4" w:space="0"/>
              <w:right w:val="single" w:color="auto" w:sz="4" w:space="0"/>
            </w:tcBorders>
            <w:noWrap w:val="0"/>
            <w:vAlign w:val="center"/>
          </w:tcPr>
          <w:p w14:paraId="75DE4E05">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竣工</w:t>
            </w:r>
          </w:p>
          <w:p w14:paraId="044F9F64">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tc>
      </w:tr>
      <w:tr w14:paraId="5212D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5E036887">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29C0FAC7">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40479070">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08746D1B">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A43D77D">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4B2C53E7">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5BE36200">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18537927">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r>
      <w:tr w14:paraId="0AF46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55FABDC0">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24D28DF5">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4B767B54">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2A09E738">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46E57FCD">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0D7CD80A">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3BFE4A56">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24F92729">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r>
      <w:tr w14:paraId="34328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540A3AEF">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77EA64A4">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4E749BB6">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258D7793">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5F66979">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542280F1">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629613A6">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00E2E4BE">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r>
      <w:tr w14:paraId="7D78E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411297AB">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6504E95C">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461EE955">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16C6F7D2">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28B1CC2F">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60A60707">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2326707B">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5F44C429">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p>
        </w:tc>
      </w:tr>
      <w:tr w14:paraId="63592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04C6B4DE">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0D235499">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3BDB7B6D">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0594788A">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0A18620">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114DBCD6">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6D66B696">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44825235">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r>
      <w:tr w14:paraId="3DD4C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48857DE4">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1A02E8AF">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5D021E48">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64A96363">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37CA1C0E">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6DEDE660">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4F8B3995">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49B805D9">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r>
      <w:tr w14:paraId="4EE41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2222B3AD">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69C4316A">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114919C7">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40DAD000">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354A5702">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31BF0E30">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60B495EB">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67D01A9E">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r>
      <w:tr w14:paraId="31B16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491C41ED">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065E5D76">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30B62C5F">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0167511A">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540AA489">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498B0736">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1968D80F">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13B769A9">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r>
      <w:tr w14:paraId="65847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0E3BA2B0">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0951171F">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1545C2AF">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160943D4">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33613117">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2E5C33A3">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299B703F">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07318231">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r>
      <w:tr w14:paraId="3838A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0CBBF390">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31214EB1">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55BEF724">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1BD5C50A">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862578D">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7DA59330">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075428E2">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5642D0C2">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r>
      <w:tr w14:paraId="263EE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2D847699">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3E9A68DA">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38BD08E3">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0F439A2B">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D972B1E">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2B376841">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201E1E3E">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79ECC62D">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r>
      <w:tr w14:paraId="19AC8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36A94069">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19CE73DD">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19C5F3E9">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7FB096F3">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CB5587A">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2CCB52DD">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650F2D1F">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41805AEF">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r>
      <w:tr w14:paraId="18174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21E5AB97">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176D71EB">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3A7502E7">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312FFB49">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331E573">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08B998A5">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734F5641">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1023FD9C">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r>
      <w:tr w14:paraId="4E80F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1E5A77CE">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4806CD2C">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5CAFC611">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3D536098">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40B90B6">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5AEC62E1">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56D6CD2B">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32A5C710">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r>
      <w:tr w14:paraId="6FAE5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3E58DE6E">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37D994E3">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3143D7C7">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5E871E8D">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1237FCE8">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4D46CABA">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411DB6FB">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3D8EB0A8">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r>
      <w:tr w14:paraId="6F78E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47BC9EFB">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0E9AA43D">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5F53A2DD">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38EF0520">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09AFC311">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78940709">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537D76E5">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1DB79877">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r>
      <w:tr w14:paraId="4A0B4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177E03F6">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05435789">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24ED5B40">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70B3DA3F">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B247873">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2A30A819">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07ACBE8F">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18FCB83E">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r>
      <w:tr w14:paraId="15E0D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312" w:type="dxa"/>
            <w:tcBorders>
              <w:top w:val="single" w:color="auto" w:sz="4" w:space="0"/>
              <w:left w:val="single" w:color="auto" w:sz="4" w:space="0"/>
              <w:bottom w:val="single" w:color="auto" w:sz="4" w:space="0"/>
              <w:right w:val="single" w:color="auto" w:sz="4" w:space="0"/>
            </w:tcBorders>
            <w:noWrap w:val="0"/>
            <w:vAlign w:val="center"/>
          </w:tcPr>
          <w:p w14:paraId="10A71D30">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14:paraId="568882C2">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22B34F83">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14:paraId="16B47012">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5BC73C67">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14:paraId="0EF1082B">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88" w:type="dxa"/>
            <w:tcBorders>
              <w:top w:val="single" w:color="auto" w:sz="4" w:space="0"/>
              <w:left w:val="single" w:color="auto" w:sz="4" w:space="0"/>
              <w:bottom w:val="single" w:color="auto" w:sz="4" w:space="0"/>
              <w:right w:val="single" w:color="auto" w:sz="4" w:space="0"/>
            </w:tcBorders>
            <w:noWrap w:val="0"/>
            <w:vAlign w:val="center"/>
          </w:tcPr>
          <w:p w14:paraId="52EF9BAA">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520E2B6F">
            <w:pPr>
              <w:keepNext w:val="0"/>
              <w:keepLines w:val="0"/>
              <w:pageBreakBefore w:val="0"/>
              <w:widowControl/>
              <w:kinsoku/>
              <w:wordWrap/>
              <w:overflowPunct/>
              <w:topLinePunct w:val="0"/>
              <w:bidi w:val="0"/>
              <w:spacing w:line="360" w:lineRule="auto"/>
              <w:jc w:val="center"/>
              <w:textAlignment w:val="auto"/>
              <w:rPr>
                <w:rFonts w:ascii="宋体" w:hAnsi="宋体"/>
                <w:color w:val="auto"/>
                <w:kern w:val="0"/>
                <w:highlight w:val="none"/>
              </w:rPr>
            </w:pPr>
          </w:p>
        </w:tc>
      </w:tr>
    </w:tbl>
    <w:p w14:paraId="5FAFC13D">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color w:val="auto"/>
          <w:kern w:val="0"/>
          <w:sz w:val="24"/>
          <w:szCs w:val="24"/>
          <w:highlight w:val="none"/>
        </w:rPr>
      </w:pPr>
      <w:r>
        <w:rPr>
          <w:rFonts w:hint="eastAsia" w:ascii="宋体" w:hAnsi="宋体"/>
          <w:color w:val="auto"/>
          <w:highlight w:val="none"/>
        </w:rPr>
        <w:br w:type="page"/>
      </w:r>
      <w:r>
        <w:rPr>
          <w:rFonts w:hint="eastAsia" w:ascii="宋体" w:hAnsi="宋体" w:eastAsia="宋体" w:cs="宋体"/>
          <w:color w:val="auto"/>
          <w:kern w:val="0"/>
          <w:sz w:val="24"/>
          <w:szCs w:val="24"/>
          <w:highlight w:val="none"/>
        </w:rPr>
        <w:t>附件2：</w:t>
      </w:r>
    </w:p>
    <w:p w14:paraId="662B178A">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rPr>
        <w:t>发包人供应材料设备一览表</w:t>
      </w:r>
    </w:p>
    <w:tbl>
      <w:tblPr>
        <w:tblStyle w:val="8"/>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1686"/>
        <w:gridCol w:w="1370"/>
        <w:gridCol w:w="875"/>
        <w:gridCol w:w="905"/>
        <w:gridCol w:w="951"/>
        <w:gridCol w:w="1353"/>
        <w:gridCol w:w="993"/>
      </w:tblGrid>
      <w:tr w14:paraId="4B535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5605F6B8">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686" w:type="dxa"/>
            <w:tcBorders>
              <w:top w:val="single" w:color="auto" w:sz="4" w:space="0"/>
              <w:left w:val="single" w:color="auto" w:sz="4" w:space="0"/>
              <w:bottom w:val="single" w:color="auto" w:sz="4" w:space="0"/>
              <w:right w:val="single" w:color="auto" w:sz="4" w:space="0"/>
            </w:tcBorders>
            <w:noWrap w:val="0"/>
            <w:vAlign w:val="center"/>
          </w:tcPr>
          <w:p w14:paraId="36A2D6DB">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材料设备品种</w:t>
            </w:r>
          </w:p>
        </w:tc>
        <w:tc>
          <w:tcPr>
            <w:tcW w:w="1370" w:type="dxa"/>
            <w:tcBorders>
              <w:top w:val="single" w:color="auto" w:sz="4" w:space="0"/>
              <w:left w:val="single" w:color="auto" w:sz="4" w:space="0"/>
              <w:bottom w:val="single" w:color="auto" w:sz="4" w:space="0"/>
              <w:right w:val="single" w:color="auto" w:sz="4" w:space="0"/>
            </w:tcBorders>
            <w:noWrap w:val="0"/>
            <w:vAlign w:val="center"/>
          </w:tcPr>
          <w:p w14:paraId="14D5333E">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规格型号</w:t>
            </w:r>
          </w:p>
        </w:tc>
        <w:tc>
          <w:tcPr>
            <w:tcW w:w="875" w:type="dxa"/>
            <w:tcBorders>
              <w:top w:val="single" w:color="auto" w:sz="4" w:space="0"/>
              <w:left w:val="single" w:color="auto" w:sz="4" w:space="0"/>
              <w:bottom w:val="single" w:color="auto" w:sz="4" w:space="0"/>
              <w:right w:val="single" w:color="auto" w:sz="4" w:space="0"/>
            </w:tcBorders>
            <w:noWrap w:val="0"/>
            <w:vAlign w:val="center"/>
          </w:tcPr>
          <w:p w14:paraId="1EED66C7">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w:t>
            </w:r>
          </w:p>
        </w:tc>
        <w:tc>
          <w:tcPr>
            <w:tcW w:w="905" w:type="dxa"/>
            <w:tcBorders>
              <w:top w:val="single" w:color="auto" w:sz="4" w:space="0"/>
              <w:left w:val="single" w:color="auto" w:sz="4" w:space="0"/>
              <w:bottom w:val="single" w:color="auto" w:sz="4" w:space="0"/>
              <w:right w:val="single" w:color="auto" w:sz="4" w:space="0"/>
            </w:tcBorders>
            <w:noWrap w:val="0"/>
            <w:vAlign w:val="center"/>
          </w:tcPr>
          <w:p w14:paraId="5F95C0CB">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7B847B82">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单价（元）</w:t>
            </w:r>
          </w:p>
        </w:tc>
        <w:tc>
          <w:tcPr>
            <w:tcW w:w="1353" w:type="dxa"/>
            <w:tcBorders>
              <w:top w:val="single" w:color="auto" w:sz="4" w:space="0"/>
              <w:left w:val="single" w:color="auto" w:sz="4" w:space="0"/>
              <w:bottom w:val="single" w:color="auto" w:sz="4" w:space="0"/>
              <w:right w:val="single" w:color="auto" w:sz="4" w:space="0"/>
            </w:tcBorders>
            <w:noWrap w:val="0"/>
            <w:vAlign w:val="center"/>
          </w:tcPr>
          <w:p w14:paraId="4415757E">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合价（元）</w:t>
            </w:r>
          </w:p>
        </w:tc>
        <w:tc>
          <w:tcPr>
            <w:tcW w:w="993" w:type="dxa"/>
            <w:tcBorders>
              <w:top w:val="single" w:color="auto" w:sz="4" w:space="0"/>
              <w:left w:val="single" w:color="auto" w:sz="4" w:space="0"/>
              <w:bottom w:val="single" w:color="auto" w:sz="4" w:space="0"/>
              <w:right w:val="single" w:color="auto" w:sz="4" w:space="0"/>
            </w:tcBorders>
            <w:noWrap w:val="0"/>
            <w:vAlign w:val="center"/>
          </w:tcPr>
          <w:p w14:paraId="65EB0FA3">
            <w:pPr>
              <w:keepNext w:val="0"/>
              <w:keepLines w:val="0"/>
              <w:pageBreakBefore w:val="0"/>
              <w:widowControl/>
              <w:kinsoku/>
              <w:wordWrap/>
              <w:overflowPunct/>
              <w:topLinePunct w:val="0"/>
              <w:bidi w:val="0"/>
              <w:spacing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14:paraId="58CB1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1C5E692D">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3107F08A">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72D33F53">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center"/>
          </w:tcPr>
          <w:p w14:paraId="37467307">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center"/>
          </w:tcPr>
          <w:p w14:paraId="2C7F71DE">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52C29A2B">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14:paraId="062262CC">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4080B26F">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r>
      <w:tr w14:paraId="4CCAF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6B939E89">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59F48782">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58E31D8F">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center"/>
          </w:tcPr>
          <w:p w14:paraId="676FA17C">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center"/>
          </w:tcPr>
          <w:p w14:paraId="6AA1896B">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7B66E00">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14:paraId="664B7843">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338CD137">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r>
      <w:tr w14:paraId="50514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550D8FC2">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6D0841C4">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079C8CA8">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center"/>
          </w:tcPr>
          <w:p w14:paraId="2BBB2F49">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center"/>
          </w:tcPr>
          <w:p w14:paraId="2ED43FF6">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0C9AA180">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14:paraId="6DD88486">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51E35040">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r>
      <w:tr w14:paraId="0FC58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5367A0DB">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420E8E7E">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76731184">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center"/>
          </w:tcPr>
          <w:p w14:paraId="0DC7B98B">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center"/>
          </w:tcPr>
          <w:p w14:paraId="790A4309">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2D8D8FAE">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14:paraId="6AE78957">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5B2F13AE">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r>
      <w:tr w14:paraId="395D2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7B0F8C78">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717BC530">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247B0067">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center"/>
          </w:tcPr>
          <w:p w14:paraId="7F3A9870">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center"/>
          </w:tcPr>
          <w:p w14:paraId="3339E9BA">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1B34EDD2">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14:paraId="31A74194">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55C5CBDE">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r>
      <w:tr w14:paraId="7DF66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37589B69">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426EC09F">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10A394D3">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center"/>
          </w:tcPr>
          <w:p w14:paraId="00683F49">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center"/>
          </w:tcPr>
          <w:p w14:paraId="0B497649">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7F8F1C5">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14:paraId="315A3A93">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3D58A976">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r>
      <w:tr w14:paraId="0B230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3683AD44">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70D9EA6C">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6D4F5226">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center"/>
          </w:tcPr>
          <w:p w14:paraId="7E73DF60">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center"/>
          </w:tcPr>
          <w:p w14:paraId="60DECB8B">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26D9BA35">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14:paraId="39A23BE9">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6584519F">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p>
        </w:tc>
      </w:tr>
      <w:tr w14:paraId="48728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6160A309">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61ECD94F">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0BC8BA97">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center"/>
          </w:tcPr>
          <w:p w14:paraId="65B214A7">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center"/>
          </w:tcPr>
          <w:p w14:paraId="191D5B24">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407101D7">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14:paraId="06A00BD8">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1EAD05C2">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r>
      <w:tr w14:paraId="16351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1ECDE79B">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60B03B11">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24132DAE">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center"/>
          </w:tcPr>
          <w:p w14:paraId="63DFCF2D">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center"/>
          </w:tcPr>
          <w:p w14:paraId="5307F57F">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1C007887">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14:paraId="7167496F">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1489AB82">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r>
      <w:tr w14:paraId="338F7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17257E1C">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65BAD557">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25FCB72F">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center"/>
          </w:tcPr>
          <w:p w14:paraId="3551E815">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center"/>
          </w:tcPr>
          <w:p w14:paraId="3DC9E78C">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E5ED131">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14:paraId="4D97D489">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1F906E4F">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r>
      <w:tr w14:paraId="00C7D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354B2357">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177B87FE">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0DF9FB79">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center"/>
          </w:tcPr>
          <w:p w14:paraId="5C22EE37">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center"/>
          </w:tcPr>
          <w:p w14:paraId="0AE61504">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1132626C">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14:paraId="761C00F9">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7297FD47">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r>
      <w:tr w14:paraId="09190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5B32DEBD">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4F298EEE">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3AE1063A">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center"/>
          </w:tcPr>
          <w:p w14:paraId="690F5A97">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center"/>
          </w:tcPr>
          <w:p w14:paraId="40101F1B">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6D577DD9">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14:paraId="25812EAD">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7C83D3AE">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r>
      <w:tr w14:paraId="3419B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51A8BB00">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771892AA">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0D021A1E">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center"/>
          </w:tcPr>
          <w:p w14:paraId="72AC7EFD">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center"/>
          </w:tcPr>
          <w:p w14:paraId="0547CB54">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461FCB44">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14:paraId="21C80680">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66E01382">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r>
      <w:tr w14:paraId="44B48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460EA0B5">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686" w:type="dxa"/>
            <w:tcBorders>
              <w:top w:val="single" w:color="auto" w:sz="4" w:space="0"/>
              <w:left w:val="single" w:color="auto" w:sz="4" w:space="0"/>
              <w:bottom w:val="single" w:color="auto" w:sz="4" w:space="0"/>
              <w:right w:val="single" w:color="auto" w:sz="4" w:space="0"/>
            </w:tcBorders>
            <w:noWrap w:val="0"/>
            <w:vAlign w:val="center"/>
          </w:tcPr>
          <w:p w14:paraId="625499D4">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2BCC8754">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875" w:type="dxa"/>
            <w:tcBorders>
              <w:top w:val="single" w:color="auto" w:sz="4" w:space="0"/>
              <w:left w:val="single" w:color="auto" w:sz="4" w:space="0"/>
              <w:bottom w:val="single" w:color="auto" w:sz="4" w:space="0"/>
              <w:right w:val="single" w:color="auto" w:sz="4" w:space="0"/>
            </w:tcBorders>
            <w:noWrap w:val="0"/>
            <w:vAlign w:val="center"/>
          </w:tcPr>
          <w:p w14:paraId="074FFA42">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05" w:type="dxa"/>
            <w:tcBorders>
              <w:top w:val="single" w:color="auto" w:sz="4" w:space="0"/>
              <w:left w:val="single" w:color="auto" w:sz="4" w:space="0"/>
              <w:bottom w:val="single" w:color="auto" w:sz="4" w:space="0"/>
              <w:right w:val="single" w:color="auto" w:sz="4" w:space="0"/>
            </w:tcBorders>
            <w:noWrap w:val="0"/>
            <w:vAlign w:val="center"/>
          </w:tcPr>
          <w:p w14:paraId="0476F105">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28B3C099">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353" w:type="dxa"/>
            <w:tcBorders>
              <w:top w:val="single" w:color="auto" w:sz="4" w:space="0"/>
              <w:left w:val="single" w:color="auto" w:sz="4" w:space="0"/>
              <w:bottom w:val="single" w:color="auto" w:sz="4" w:space="0"/>
              <w:right w:val="single" w:color="auto" w:sz="4" w:space="0"/>
            </w:tcBorders>
            <w:noWrap w:val="0"/>
            <w:vAlign w:val="center"/>
          </w:tcPr>
          <w:p w14:paraId="7A579AF2">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c>
          <w:tcPr>
            <w:tcW w:w="993" w:type="dxa"/>
            <w:tcBorders>
              <w:top w:val="single" w:color="auto" w:sz="4" w:space="0"/>
              <w:left w:val="single" w:color="auto" w:sz="4" w:space="0"/>
              <w:bottom w:val="single" w:color="auto" w:sz="4" w:space="0"/>
              <w:right w:val="single" w:color="auto" w:sz="4" w:space="0"/>
            </w:tcBorders>
            <w:noWrap w:val="0"/>
            <w:vAlign w:val="center"/>
          </w:tcPr>
          <w:p w14:paraId="1EE41F30">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r>
      <w:tr w14:paraId="08B40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7DFF8E06">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686" w:type="dxa"/>
            <w:tcBorders>
              <w:top w:val="single" w:color="auto" w:sz="4" w:space="0"/>
              <w:left w:val="nil"/>
              <w:bottom w:val="single" w:color="auto" w:sz="4" w:space="0"/>
              <w:right w:val="single" w:color="auto" w:sz="4" w:space="0"/>
            </w:tcBorders>
            <w:noWrap w:val="0"/>
            <w:vAlign w:val="center"/>
          </w:tcPr>
          <w:p w14:paraId="4B27DB9D">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370" w:type="dxa"/>
            <w:tcBorders>
              <w:top w:val="single" w:color="auto" w:sz="4" w:space="0"/>
              <w:left w:val="nil"/>
              <w:bottom w:val="single" w:color="auto" w:sz="4" w:space="0"/>
              <w:right w:val="single" w:color="auto" w:sz="4" w:space="0"/>
            </w:tcBorders>
            <w:noWrap w:val="0"/>
            <w:vAlign w:val="center"/>
          </w:tcPr>
          <w:p w14:paraId="35AD1D96">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875" w:type="dxa"/>
            <w:tcBorders>
              <w:top w:val="single" w:color="auto" w:sz="4" w:space="0"/>
              <w:left w:val="nil"/>
              <w:bottom w:val="single" w:color="auto" w:sz="4" w:space="0"/>
              <w:right w:val="single" w:color="auto" w:sz="4" w:space="0"/>
            </w:tcBorders>
            <w:noWrap w:val="0"/>
            <w:vAlign w:val="center"/>
          </w:tcPr>
          <w:p w14:paraId="1079ECEF">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05" w:type="dxa"/>
            <w:tcBorders>
              <w:top w:val="single" w:color="auto" w:sz="4" w:space="0"/>
              <w:left w:val="nil"/>
              <w:bottom w:val="single" w:color="auto" w:sz="4" w:space="0"/>
              <w:right w:val="single" w:color="auto" w:sz="4" w:space="0"/>
            </w:tcBorders>
            <w:noWrap w:val="0"/>
            <w:vAlign w:val="center"/>
          </w:tcPr>
          <w:p w14:paraId="56ABBED2">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51" w:type="dxa"/>
            <w:tcBorders>
              <w:top w:val="single" w:color="auto" w:sz="4" w:space="0"/>
              <w:left w:val="nil"/>
              <w:bottom w:val="single" w:color="auto" w:sz="4" w:space="0"/>
              <w:right w:val="single" w:color="auto" w:sz="4" w:space="0"/>
            </w:tcBorders>
            <w:noWrap w:val="0"/>
            <w:vAlign w:val="center"/>
          </w:tcPr>
          <w:p w14:paraId="1C3B985B">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c>
          <w:tcPr>
            <w:tcW w:w="1353" w:type="dxa"/>
            <w:tcBorders>
              <w:top w:val="single" w:color="auto" w:sz="4" w:space="0"/>
              <w:left w:val="nil"/>
              <w:bottom w:val="single" w:color="auto" w:sz="4" w:space="0"/>
              <w:right w:val="single" w:color="auto" w:sz="4" w:space="0"/>
            </w:tcBorders>
            <w:noWrap w:val="0"/>
            <w:vAlign w:val="center"/>
          </w:tcPr>
          <w:p w14:paraId="3B82FC06">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c>
          <w:tcPr>
            <w:tcW w:w="993" w:type="dxa"/>
            <w:tcBorders>
              <w:top w:val="single" w:color="auto" w:sz="4" w:space="0"/>
              <w:left w:val="nil"/>
              <w:bottom w:val="single" w:color="auto" w:sz="4" w:space="0"/>
              <w:right w:val="single" w:color="auto" w:sz="4" w:space="0"/>
            </w:tcBorders>
            <w:noWrap w:val="0"/>
            <w:vAlign w:val="center"/>
          </w:tcPr>
          <w:p w14:paraId="3DC519FD">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r>
      <w:tr w14:paraId="770A2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1A6A41C0">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686" w:type="dxa"/>
            <w:tcBorders>
              <w:top w:val="single" w:color="auto" w:sz="4" w:space="0"/>
              <w:left w:val="nil"/>
              <w:bottom w:val="single" w:color="auto" w:sz="4" w:space="0"/>
              <w:right w:val="single" w:color="auto" w:sz="4" w:space="0"/>
            </w:tcBorders>
            <w:noWrap w:val="0"/>
            <w:vAlign w:val="center"/>
          </w:tcPr>
          <w:p w14:paraId="7FBB1B0D">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370" w:type="dxa"/>
            <w:tcBorders>
              <w:top w:val="single" w:color="auto" w:sz="4" w:space="0"/>
              <w:left w:val="nil"/>
              <w:bottom w:val="single" w:color="auto" w:sz="4" w:space="0"/>
              <w:right w:val="single" w:color="auto" w:sz="4" w:space="0"/>
            </w:tcBorders>
            <w:noWrap w:val="0"/>
            <w:vAlign w:val="center"/>
          </w:tcPr>
          <w:p w14:paraId="6C03240B">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875" w:type="dxa"/>
            <w:tcBorders>
              <w:top w:val="single" w:color="auto" w:sz="4" w:space="0"/>
              <w:left w:val="nil"/>
              <w:bottom w:val="single" w:color="auto" w:sz="4" w:space="0"/>
              <w:right w:val="single" w:color="auto" w:sz="4" w:space="0"/>
            </w:tcBorders>
            <w:noWrap w:val="0"/>
            <w:vAlign w:val="center"/>
          </w:tcPr>
          <w:p w14:paraId="2F6AB543">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05" w:type="dxa"/>
            <w:tcBorders>
              <w:top w:val="single" w:color="auto" w:sz="4" w:space="0"/>
              <w:left w:val="nil"/>
              <w:bottom w:val="single" w:color="auto" w:sz="4" w:space="0"/>
              <w:right w:val="single" w:color="auto" w:sz="4" w:space="0"/>
            </w:tcBorders>
            <w:noWrap w:val="0"/>
            <w:vAlign w:val="center"/>
          </w:tcPr>
          <w:p w14:paraId="44D1E1E2">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51" w:type="dxa"/>
            <w:tcBorders>
              <w:top w:val="single" w:color="auto" w:sz="4" w:space="0"/>
              <w:left w:val="nil"/>
              <w:bottom w:val="single" w:color="auto" w:sz="4" w:space="0"/>
              <w:right w:val="single" w:color="auto" w:sz="4" w:space="0"/>
            </w:tcBorders>
            <w:noWrap w:val="0"/>
            <w:vAlign w:val="center"/>
          </w:tcPr>
          <w:p w14:paraId="3A9551F2">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c>
          <w:tcPr>
            <w:tcW w:w="1353" w:type="dxa"/>
            <w:tcBorders>
              <w:top w:val="single" w:color="auto" w:sz="4" w:space="0"/>
              <w:left w:val="nil"/>
              <w:bottom w:val="single" w:color="auto" w:sz="4" w:space="0"/>
              <w:right w:val="single" w:color="auto" w:sz="4" w:space="0"/>
            </w:tcBorders>
            <w:noWrap w:val="0"/>
            <w:vAlign w:val="center"/>
          </w:tcPr>
          <w:p w14:paraId="3C3D491E">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c>
          <w:tcPr>
            <w:tcW w:w="993" w:type="dxa"/>
            <w:tcBorders>
              <w:top w:val="single" w:color="auto" w:sz="4" w:space="0"/>
              <w:left w:val="nil"/>
              <w:bottom w:val="single" w:color="auto" w:sz="4" w:space="0"/>
              <w:right w:val="single" w:color="auto" w:sz="4" w:space="0"/>
            </w:tcBorders>
            <w:noWrap w:val="0"/>
            <w:vAlign w:val="center"/>
          </w:tcPr>
          <w:p w14:paraId="24C60B5D">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r>
      <w:tr w14:paraId="3A1E4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509" w:type="dxa"/>
            <w:tcBorders>
              <w:top w:val="single" w:color="auto" w:sz="4" w:space="0"/>
              <w:left w:val="single" w:color="auto" w:sz="4" w:space="0"/>
              <w:bottom w:val="single" w:color="auto" w:sz="4" w:space="0"/>
              <w:right w:val="single" w:color="auto" w:sz="4" w:space="0"/>
            </w:tcBorders>
            <w:noWrap w:val="0"/>
            <w:vAlign w:val="center"/>
          </w:tcPr>
          <w:p w14:paraId="63CCB0B3">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686" w:type="dxa"/>
            <w:tcBorders>
              <w:top w:val="single" w:color="auto" w:sz="4" w:space="0"/>
              <w:left w:val="nil"/>
              <w:bottom w:val="single" w:color="auto" w:sz="4" w:space="0"/>
              <w:right w:val="single" w:color="auto" w:sz="4" w:space="0"/>
            </w:tcBorders>
            <w:noWrap w:val="0"/>
            <w:vAlign w:val="center"/>
          </w:tcPr>
          <w:p w14:paraId="01A1ED85">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r>
              <w:rPr>
                <w:rFonts w:hint="eastAsia" w:ascii="宋体" w:hAnsi="宋体"/>
                <w:color w:val="auto"/>
                <w:highlight w:val="none"/>
              </w:rPr>
              <w:t>合计</w:t>
            </w:r>
          </w:p>
        </w:tc>
        <w:tc>
          <w:tcPr>
            <w:tcW w:w="1370" w:type="dxa"/>
            <w:tcBorders>
              <w:top w:val="single" w:color="auto" w:sz="4" w:space="0"/>
              <w:left w:val="nil"/>
              <w:bottom w:val="single" w:color="auto" w:sz="4" w:space="0"/>
              <w:right w:val="single" w:color="auto" w:sz="4" w:space="0"/>
            </w:tcBorders>
            <w:noWrap w:val="0"/>
            <w:vAlign w:val="center"/>
          </w:tcPr>
          <w:p w14:paraId="27445483">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875" w:type="dxa"/>
            <w:tcBorders>
              <w:top w:val="single" w:color="auto" w:sz="4" w:space="0"/>
              <w:left w:val="nil"/>
              <w:bottom w:val="single" w:color="auto" w:sz="4" w:space="0"/>
              <w:right w:val="single" w:color="auto" w:sz="4" w:space="0"/>
            </w:tcBorders>
            <w:noWrap w:val="0"/>
            <w:vAlign w:val="center"/>
          </w:tcPr>
          <w:p w14:paraId="61D623E9">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05" w:type="dxa"/>
            <w:tcBorders>
              <w:top w:val="single" w:color="auto" w:sz="4" w:space="0"/>
              <w:left w:val="nil"/>
              <w:bottom w:val="single" w:color="auto" w:sz="4" w:space="0"/>
              <w:right w:val="single" w:color="auto" w:sz="4" w:space="0"/>
            </w:tcBorders>
            <w:noWrap w:val="0"/>
            <w:vAlign w:val="center"/>
          </w:tcPr>
          <w:p w14:paraId="44A91ED4">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51" w:type="dxa"/>
            <w:tcBorders>
              <w:top w:val="single" w:color="auto" w:sz="4" w:space="0"/>
              <w:left w:val="nil"/>
              <w:bottom w:val="single" w:color="auto" w:sz="4" w:space="0"/>
              <w:right w:val="single" w:color="auto" w:sz="4" w:space="0"/>
            </w:tcBorders>
            <w:noWrap w:val="0"/>
            <w:vAlign w:val="center"/>
          </w:tcPr>
          <w:p w14:paraId="6D3A48D6">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c>
          <w:tcPr>
            <w:tcW w:w="1353" w:type="dxa"/>
            <w:tcBorders>
              <w:top w:val="single" w:color="auto" w:sz="4" w:space="0"/>
              <w:left w:val="nil"/>
              <w:bottom w:val="single" w:color="auto" w:sz="4" w:space="0"/>
              <w:right w:val="single" w:color="auto" w:sz="4" w:space="0"/>
            </w:tcBorders>
            <w:noWrap w:val="0"/>
            <w:vAlign w:val="center"/>
          </w:tcPr>
          <w:p w14:paraId="73BD2CBF">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c>
          <w:tcPr>
            <w:tcW w:w="993" w:type="dxa"/>
            <w:tcBorders>
              <w:top w:val="single" w:color="auto" w:sz="4" w:space="0"/>
              <w:left w:val="nil"/>
              <w:bottom w:val="single" w:color="auto" w:sz="4" w:space="0"/>
              <w:right w:val="single" w:color="auto" w:sz="4" w:space="0"/>
            </w:tcBorders>
            <w:noWrap w:val="0"/>
            <w:vAlign w:val="center"/>
          </w:tcPr>
          <w:p w14:paraId="662C5EDE">
            <w:pPr>
              <w:keepNext w:val="0"/>
              <w:keepLines w:val="0"/>
              <w:pageBreakBefore w:val="0"/>
              <w:widowControl/>
              <w:kinsoku/>
              <w:wordWrap/>
              <w:overflowPunct/>
              <w:topLinePunct w:val="0"/>
              <w:bidi w:val="0"/>
              <w:spacing w:line="360" w:lineRule="auto"/>
              <w:jc w:val="center"/>
              <w:textAlignment w:val="auto"/>
              <w:rPr>
                <w:rFonts w:ascii="宋体" w:hAnsi="宋体"/>
                <w:color w:val="auto"/>
                <w:highlight w:val="none"/>
              </w:rPr>
            </w:pPr>
          </w:p>
        </w:tc>
      </w:tr>
    </w:tbl>
    <w:p w14:paraId="73254BAE">
      <w:pPr>
        <w:keepNext w:val="0"/>
        <w:keepLines w:val="0"/>
        <w:pageBreakBefore w:val="0"/>
        <w:kinsoku/>
        <w:wordWrap/>
        <w:overflowPunct/>
        <w:topLinePunct w:val="0"/>
        <w:bidi w:val="0"/>
        <w:spacing w:line="360" w:lineRule="auto"/>
        <w:textAlignment w:val="auto"/>
        <w:rPr>
          <w:rFonts w:hint="eastAsia" w:ascii="宋体" w:hAnsi="宋体"/>
          <w:bCs/>
          <w:color w:val="auto"/>
          <w:sz w:val="28"/>
          <w:szCs w:val="28"/>
          <w:highlight w:val="none"/>
        </w:rPr>
      </w:pPr>
      <w:r>
        <w:rPr>
          <w:rFonts w:hint="eastAsia" w:ascii="宋体" w:hAnsi="宋体"/>
          <w:bCs/>
          <w:color w:val="auto"/>
          <w:sz w:val="28"/>
          <w:szCs w:val="28"/>
          <w:highlight w:val="none"/>
        </w:rPr>
        <w:t xml:space="preserve"> </w:t>
      </w:r>
    </w:p>
    <w:p w14:paraId="56A5287F">
      <w:pPr>
        <w:keepNext w:val="0"/>
        <w:keepLines w:val="0"/>
        <w:pageBreakBefore w:val="0"/>
        <w:widowControl/>
        <w:kinsoku/>
        <w:wordWrap/>
        <w:overflowPunct/>
        <w:topLinePunct w:val="0"/>
        <w:bidi w:val="0"/>
        <w:spacing w:line="360" w:lineRule="auto"/>
        <w:jc w:val="left"/>
        <w:textAlignment w:val="auto"/>
        <w:rPr>
          <w:rFonts w:hint="eastAsia" w:ascii="宋体" w:hAnsi="宋体"/>
          <w:bCs/>
          <w:color w:val="auto"/>
          <w:sz w:val="24"/>
          <w:szCs w:val="24"/>
          <w:highlight w:val="none"/>
        </w:rPr>
      </w:pPr>
      <w:r>
        <w:rPr>
          <w:rFonts w:hint="eastAsia" w:ascii="宋体" w:hAnsi="宋体"/>
          <w:bCs/>
          <w:color w:val="auto"/>
          <w:sz w:val="28"/>
          <w:szCs w:val="28"/>
          <w:highlight w:val="none"/>
        </w:rPr>
        <w:br w:type="page"/>
      </w:r>
      <w:r>
        <w:rPr>
          <w:rFonts w:hint="eastAsia" w:ascii="宋体" w:hAnsi="宋体"/>
          <w:color w:val="auto"/>
          <w:kern w:val="0"/>
          <w:sz w:val="24"/>
          <w:szCs w:val="24"/>
          <w:highlight w:val="none"/>
        </w:rPr>
        <w:t>附件3 ：</w:t>
      </w:r>
      <w:r>
        <w:rPr>
          <w:rFonts w:hint="eastAsia" w:ascii="宋体" w:hAnsi="宋体"/>
          <w:bCs/>
          <w:color w:val="auto"/>
          <w:sz w:val="24"/>
          <w:szCs w:val="24"/>
          <w:highlight w:val="none"/>
        </w:rPr>
        <w:t xml:space="preserve">       </w:t>
      </w:r>
    </w:p>
    <w:p w14:paraId="53CF0C8D">
      <w:pPr>
        <w:keepNext w:val="0"/>
        <w:keepLines w:val="0"/>
        <w:pageBreakBefore w:val="0"/>
        <w:kinsoku/>
        <w:wordWrap/>
        <w:overflowPunct/>
        <w:topLinePunct w:val="0"/>
        <w:bidi w:val="0"/>
        <w:spacing w:line="360" w:lineRule="auto"/>
        <w:jc w:val="center"/>
        <w:textAlignment w:val="auto"/>
        <w:rPr>
          <w:rFonts w:hint="eastAsia" w:ascii="宋体" w:hAnsi="宋体"/>
          <w:b/>
          <w:bCs w:val="0"/>
          <w:color w:val="auto"/>
          <w:sz w:val="24"/>
          <w:szCs w:val="24"/>
          <w:highlight w:val="none"/>
        </w:rPr>
      </w:pPr>
      <w:r>
        <w:rPr>
          <w:rFonts w:hint="eastAsia" w:ascii="宋体" w:hAnsi="宋体"/>
          <w:b/>
          <w:bCs w:val="0"/>
          <w:color w:val="auto"/>
          <w:sz w:val="24"/>
          <w:szCs w:val="24"/>
          <w:highlight w:val="none"/>
        </w:rPr>
        <w:t xml:space="preserve"> 招标人暂定价格明细表</w:t>
      </w:r>
    </w:p>
    <w:p w14:paraId="6D2794CD">
      <w:pPr>
        <w:keepNext w:val="0"/>
        <w:keepLines w:val="0"/>
        <w:pageBreakBefore w:val="0"/>
        <w:pBdr>
          <w:bottom w:val="single" w:color="auto" w:sz="6" w:space="1"/>
        </w:pBdr>
        <w:kinsoku/>
        <w:wordWrap/>
        <w:overflowPunct/>
        <w:topLinePunct w:val="0"/>
        <w:bidi w:val="0"/>
        <w:snapToGrid w:val="0"/>
        <w:spacing w:line="360" w:lineRule="auto"/>
        <w:ind w:right="90"/>
        <w:textAlignment w:val="auto"/>
        <w:rPr>
          <w:rFonts w:hint="eastAsia" w:ascii="宋体" w:hAnsi="宋体"/>
          <w:bCs/>
          <w:color w:val="auto"/>
          <w:sz w:val="24"/>
          <w:szCs w:val="24"/>
          <w:highlight w:val="none"/>
        </w:rPr>
      </w:pPr>
      <w:r>
        <w:rPr>
          <w:rFonts w:hint="eastAsia" w:ascii="宋体" w:hAnsi="宋体"/>
          <w:bCs/>
          <w:color w:val="auto"/>
          <w:sz w:val="24"/>
          <w:szCs w:val="24"/>
          <w:highlight w:val="none"/>
        </w:rPr>
        <w:t>工程名称：</w:t>
      </w:r>
      <w:r>
        <w:rPr>
          <w:rFonts w:hint="eastAsia" w:ascii="宋体" w:hAnsi="宋体"/>
          <w:bCs/>
          <w:color w:val="auto"/>
          <w:sz w:val="24"/>
          <w:szCs w:val="24"/>
          <w:highlight w:val="none"/>
          <w:lang w:val="en-US" w:eastAsia="zh-CN"/>
        </w:rPr>
        <w:t xml:space="preserve">                                                        </w:t>
      </w:r>
      <w:r>
        <w:rPr>
          <w:rFonts w:hint="eastAsia" w:ascii="宋体" w:hAnsi="宋体"/>
          <w:bCs/>
          <w:color w:val="auto"/>
          <w:sz w:val="24"/>
          <w:szCs w:val="24"/>
          <w:highlight w:val="none"/>
        </w:rPr>
        <w:t>第  页 共  页</w:t>
      </w:r>
    </w:p>
    <w:tbl>
      <w:tblPr>
        <w:tblStyle w:val="8"/>
        <w:tblW w:w="97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2048"/>
        <w:gridCol w:w="1271"/>
        <w:gridCol w:w="1019"/>
        <w:gridCol w:w="965"/>
        <w:gridCol w:w="1100"/>
        <w:gridCol w:w="1414"/>
        <w:gridCol w:w="1190"/>
      </w:tblGrid>
      <w:tr w14:paraId="57D56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4903A105">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r>
              <w:rPr>
                <w:rFonts w:hint="eastAsia" w:ascii="宋体" w:hAnsi="宋体"/>
                <w:bCs/>
                <w:color w:val="auto"/>
                <w:sz w:val="24"/>
                <w:szCs w:val="24"/>
                <w:highlight w:val="none"/>
              </w:rPr>
              <w:t>序号</w:t>
            </w:r>
          </w:p>
        </w:tc>
        <w:tc>
          <w:tcPr>
            <w:tcW w:w="2048" w:type="dxa"/>
            <w:tcBorders>
              <w:top w:val="single" w:color="auto" w:sz="4" w:space="0"/>
              <w:left w:val="single" w:color="auto" w:sz="4" w:space="0"/>
              <w:bottom w:val="single" w:color="auto" w:sz="4" w:space="0"/>
              <w:right w:val="single" w:color="auto" w:sz="4" w:space="0"/>
            </w:tcBorders>
            <w:noWrap w:val="0"/>
            <w:vAlign w:val="center"/>
          </w:tcPr>
          <w:p w14:paraId="736F39C9">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r>
              <w:rPr>
                <w:rFonts w:hint="eastAsia" w:ascii="宋体" w:hAnsi="宋体"/>
                <w:bCs/>
                <w:color w:val="auto"/>
                <w:sz w:val="24"/>
                <w:szCs w:val="24"/>
                <w:highlight w:val="none"/>
              </w:rPr>
              <w:t>项目名称</w:t>
            </w:r>
          </w:p>
        </w:tc>
        <w:tc>
          <w:tcPr>
            <w:tcW w:w="1271" w:type="dxa"/>
            <w:tcBorders>
              <w:top w:val="single" w:color="auto" w:sz="4" w:space="0"/>
              <w:left w:val="single" w:color="auto" w:sz="4" w:space="0"/>
              <w:bottom w:val="single" w:color="auto" w:sz="4" w:space="0"/>
              <w:right w:val="single" w:color="auto" w:sz="4" w:space="0"/>
            </w:tcBorders>
            <w:noWrap w:val="0"/>
            <w:vAlign w:val="center"/>
          </w:tcPr>
          <w:p w14:paraId="214668C6">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r>
              <w:rPr>
                <w:rFonts w:hint="eastAsia" w:ascii="宋体" w:hAnsi="宋体"/>
                <w:bCs/>
                <w:color w:val="auto"/>
                <w:sz w:val="24"/>
                <w:szCs w:val="24"/>
                <w:highlight w:val="none"/>
              </w:rPr>
              <w:t>规格型号</w:t>
            </w:r>
          </w:p>
        </w:tc>
        <w:tc>
          <w:tcPr>
            <w:tcW w:w="1019" w:type="dxa"/>
            <w:tcBorders>
              <w:top w:val="single" w:color="auto" w:sz="4" w:space="0"/>
              <w:left w:val="single" w:color="auto" w:sz="4" w:space="0"/>
              <w:bottom w:val="single" w:color="auto" w:sz="4" w:space="0"/>
              <w:right w:val="single" w:color="auto" w:sz="4" w:space="0"/>
            </w:tcBorders>
            <w:noWrap w:val="0"/>
            <w:vAlign w:val="center"/>
          </w:tcPr>
          <w:p w14:paraId="0A62AF0A">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r>
              <w:rPr>
                <w:rFonts w:hint="eastAsia" w:ascii="宋体" w:hAnsi="宋体"/>
                <w:bCs/>
                <w:color w:val="auto"/>
                <w:sz w:val="24"/>
                <w:szCs w:val="24"/>
                <w:highlight w:val="none"/>
              </w:rPr>
              <w:t>单位</w:t>
            </w:r>
          </w:p>
        </w:tc>
        <w:tc>
          <w:tcPr>
            <w:tcW w:w="965" w:type="dxa"/>
            <w:tcBorders>
              <w:top w:val="single" w:color="auto" w:sz="4" w:space="0"/>
              <w:left w:val="single" w:color="auto" w:sz="4" w:space="0"/>
              <w:bottom w:val="single" w:color="auto" w:sz="4" w:space="0"/>
              <w:right w:val="single" w:color="auto" w:sz="4" w:space="0"/>
            </w:tcBorders>
            <w:noWrap w:val="0"/>
            <w:vAlign w:val="center"/>
          </w:tcPr>
          <w:p w14:paraId="36EB0A75">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r>
              <w:rPr>
                <w:rFonts w:hint="eastAsia" w:ascii="宋体" w:hAnsi="宋体"/>
                <w:bCs/>
                <w:color w:val="auto"/>
                <w:sz w:val="24"/>
                <w:szCs w:val="24"/>
                <w:highlight w:val="none"/>
              </w:rPr>
              <w:t>数量</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DE27E32">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r>
              <w:rPr>
                <w:rFonts w:hint="eastAsia" w:ascii="宋体" w:hAnsi="宋体"/>
                <w:bCs/>
                <w:color w:val="auto"/>
                <w:sz w:val="24"/>
                <w:szCs w:val="24"/>
                <w:highlight w:val="none"/>
              </w:rPr>
              <w:t>单价（元）</w:t>
            </w:r>
          </w:p>
        </w:tc>
        <w:tc>
          <w:tcPr>
            <w:tcW w:w="1414" w:type="dxa"/>
            <w:tcBorders>
              <w:top w:val="single" w:color="auto" w:sz="4" w:space="0"/>
              <w:left w:val="single" w:color="auto" w:sz="4" w:space="0"/>
              <w:bottom w:val="single" w:color="auto" w:sz="4" w:space="0"/>
              <w:right w:val="single" w:color="auto" w:sz="4" w:space="0"/>
            </w:tcBorders>
            <w:noWrap w:val="0"/>
            <w:vAlign w:val="center"/>
          </w:tcPr>
          <w:p w14:paraId="0CA42B3A">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r>
              <w:rPr>
                <w:rFonts w:hint="eastAsia" w:ascii="宋体" w:hAnsi="宋体"/>
                <w:bCs/>
                <w:color w:val="auto"/>
                <w:sz w:val="24"/>
                <w:szCs w:val="24"/>
                <w:highlight w:val="none"/>
              </w:rPr>
              <w:t>综合合价（元）</w:t>
            </w:r>
          </w:p>
        </w:tc>
        <w:tc>
          <w:tcPr>
            <w:tcW w:w="1190" w:type="dxa"/>
            <w:tcBorders>
              <w:top w:val="single" w:color="auto" w:sz="4" w:space="0"/>
              <w:left w:val="single" w:color="auto" w:sz="4" w:space="0"/>
              <w:bottom w:val="single" w:color="auto" w:sz="4" w:space="0"/>
              <w:right w:val="single" w:color="auto" w:sz="4" w:space="0"/>
            </w:tcBorders>
            <w:noWrap w:val="0"/>
            <w:vAlign w:val="center"/>
          </w:tcPr>
          <w:p w14:paraId="32502D06">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r>
              <w:rPr>
                <w:rFonts w:hint="eastAsia" w:ascii="宋体" w:hAnsi="宋体"/>
                <w:bCs/>
                <w:color w:val="auto"/>
                <w:sz w:val="24"/>
                <w:szCs w:val="24"/>
                <w:highlight w:val="none"/>
              </w:rPr>
              <w:t>备注</w:t>
            </w:r>
          </w:p>
        </w:tc>
      </w:tr>
      <w:tr w14:paraId="5E0EB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51C93C5B">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6C039B70">
            <w:pPr>
              <w:keepNext w:val="0"/>
              <w:keepLines w:val="0"/>
              <w:pageBreakBefore w:val="0"/>
              <w:kinsoku/>
              <w:wordWrap/>
              <w:overflowPunct/>
              <w:topLinePunct w:val="0"/>
              <w:bidi w:val="0"/>
              <w:spacing w:line="360" w:lineRule="auto"/>
              <w:jc w:val="center"/>
              <w:textAlignment w:val="auto"/>
              <w:rPr>
                <w:rFonts w:ascii="宋体" w:hAnsi="宋体"/>
                <w:color w:val="auto"/>
                <w:sz w:val="24"/>
                <w:szCs w:val="24"/>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250F578E">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6734406A">
            <w:pPr>
              <w:keepNext w:val="0"/>
              <w:keepLines w:val="0"/>
              <w:pageBreakBefore w:val="0"/>
              <w:kinsoku/>
              <w:wordWrap/>
              <w:overflowPunct/>
              <w:topLinePunct w:val="0"/>
              <w:bidi w:val="0"/>
              <w:spacing w:line="360" w:lineRule="auto"/>
              <w:jc w:val="center"/>
              <w:textAlignment w:val="auto"/>
              <w:rPr>
                <w:rFonts w:ascii="宋体" w:hAnsi="宋体"/>
                <w:color w:val="auto"/>
                <w:sz w:val="24"/>
                <w:szCs w:val="24"/>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3D69D2D6">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0060BF2">
            <w:pPr>
              <w:keepNext w:val="0"/>
              <w:keepLines w:val="0"/>
              <w:pageBreakBefore w:val="0"/>
              <w:kinsoku/>
              <w:wordWrap/>
              <w:overflowPunct/>
              <w:topLinePunct w:val="0"/>
              <w:bidi w:val="0"/>
              <w:spacing w:line="360" w:lineRule="auto"/>
              <w:jc w:val="center"/>
              <w:textAlignment w:val="auto"/>
              <w:rPr>
                <w:rFonts w:ascii="宋体" w:hAnsi="宋体"/>
                <w:color w:val="auto"/>
                <w:sz w:val="24"/>
                <w:szCs w:val="24"/>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69EBFAF8">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445AA125">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p>
        </w:tc>
      </w:tr>
      <w:tr w14:paraId="0AB3D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23C827A8">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10A4AA6C">
            <w:pPr>
              <w:keepNext w:val="0"/>
              <w:keepLines w:val="0"/>
              <w:pageBreakBefore w:val="0"/>
              <w:kinsoku/>
              <w:wordWrap/>
              <w:overflowPunct/>
              <w:topLinePunct w:val="0"/>
              <w:bidi w:val="0"/>
              <w:spacing w:line="360" w:lineRule="auto"/>
              <w:jc w:val="center"/>
              <w:textAlignment w:val="auto"/>
              <w:rPr>
                <w:rFonts w:ascii="宋体" w:hAnsi="宋体"/>
                <w:color w:val="auto"/>
                <w:sz w:val="24"/>
                <w:szCs w:val="24"/>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1AEF3975">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1D410FBC">
            <w:pPr>
              <w:keepNext w:val="0"/>
              <w:keepLines w:val="0"/>
              <w:pageBreakBefore w:val="0"/>
              <w:kinsoku/>
              <w:wordWrap/>
              <w:overflowPunct/>
              <w:topLinePunct w:val="0"/>
              <w:bidi w:val="0"/>
              <w:spacing w:line="360" w:lineRule="auto"/>
              <w:jc w:val="center"/>
              <w:textAlignment w:val="auto"/>
              <w:rPr>
                <w:rFonts w:ascii="宋体" w:hAnsi="宋体"/>
                <w:color w:val="auto"/>
                <w:sz w:val="24"/>
                <w:szCs w:val="24"/>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68547FB3">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3DFF6DF0">
            <w:pPr>
              <w:keepNext w:val="0"/>
              <w:keepLines w:val="0"/>
              <w:pageBreakBefore w:val="0"/>
              <w:kinsoku/>
              <w:wordWrap/>
              <w:overflowPunct/>
              <w:topLinePunct w:val="0"/>
              <w:bidi w:val="0"/>
              <w:spacing w:line="360" w:lineRule="auto"/>
              <w:jc w:val="center"/>
              <w:textAlignment w:val="auto"/>
              <w:rPr>
                <w:rFonts w:ascii="宋体" w:hAnsi="宋体"/>
                <w:color w:val="auto"/>
                <w:sz w:val="24"/>
                <w:szCs w:val="24"/>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5DE359E1">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0466C71D">
            <w:pPr>
              <w:keepNext w:val="0"/>
              <w:keepLines w:val="0"/>
              <w:pageBreakBefore w:val="0"/>
              <w:kinsoku/>
              <w:wordWrap/>
              <w:overflowPunct/>
              <w:topLinePunct w:val="0"/>
              <w:bidi w:val="0"/>
              <w:spacing w:line="360" w:lineRule="auto"/>
              <w:jc w:val="center"/>
              <w:textAlignment w:val="auto"/>
              <w:rPr>
                <w:rFonts w:ascii="宋体" w:hAnsi="宋体"/>
                <w:bCs/>
                <w:color w:val="auto"/>
                <w:sz w:val="24"/>
                <w:szCs w:val="24"/>
                <w:highlight w:val="none"/>
              </w:rPr>
            </w:pPr>
          </w:p>
        </w:tc>
      </w:tr>
      <w:tr w14:paraId="302F4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1A830771">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22CE9CAA">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1CE5EB14">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2084C1B5">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7F8E0FC5">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72ECCA76">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16246ADC">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7DD18A05">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r w14:paraId="59541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64414F01">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615D5EBF">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513767E1">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1AEC3E28">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7056114A">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DD7B6D2">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1F397DAD">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146C23C2">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r w14:paraId="54251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38E6148A">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49C0C9AD">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7DF3DBFC">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6C2BE374">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27558568">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5D6AB1CC">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738E99B4">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78E05FBE">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r w14:paraId="1BDE3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3EC5A9CC">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16BF9389">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35D5C930">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094F15C0">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2A9F07F9">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D6E1E7C">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3B5D8D43">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01A8AD17">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r w14:paraId="4A814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17661FB1">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57620A19">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4CAF6C8E">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152B4203">
            <w:pPr>
              <w:keepNext w:val="0"/>
              <w:keepLines w:val="0"/>
              <w:pageBreakBefore w:val="0"/>
              <w:kinsoku/>
              <w:wordWrap/>
              <w:overflowPunct/>
              <w:topLinePunct w:val="0"/>
              <w:bidi w:val="0"/>
              <w:spacing w:line="360" w:lineRule="auto"/>
              <w:textAlignment w:val="auto"/>
              <w:rPr>
                <w:rFonts w:ascii="宋体" w:hAnsi="宋体"/>
                <w:bCs/>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443F8296">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bottom"/>
          </w:tcPr>
          <w:p w14:paraId="699D5F0C">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17581F2C">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34813C91">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r w14:paraId="5650C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289FA347">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7B64E867">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39E1D53F">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6F197C80">
            <w:pPr>
              <w:keepNext w:val="0"/>
              <w:keepLines w:val="0"/>
              <w:pageBreakBefore w:val="0"/>
              <w:kinsoku/>
              <w:wordWrap/>
              <w:overflowPunct/>
              <w:topLinePunct w:val="0"/>
              <w:bidi w:val="0"/>
              <w:spacing w:line="360" w:lineRule="auto"/>
              <w:textAlignment w:val="auto"/>
              <w:rPr>
                <w:rFonts w:ascii="宋体" w:hAnsi="宋体"/>
                <w:bCs/>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53B15156">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bottom"/>
          </w:tcPr>
          <w:p w14:paraId="4AB84940">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4358861D">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1423B76E">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r w14:paraId="14852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3C198BBB">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0F74AD91">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229AF0DB">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786700C7">
            <w:pPr>
              <w:keepNext w:val="0"/>
              <w:keepLines w:val="0"/>
              <w:pageBreakBefore w:val="0"/>
              <w:kinsoku/>
              <w:wordWrap/>
              <w:overflowPunct/>
              <w:topLinePunct w:val="0"/>
              <w:bidi w:val="0"/>
              <w:spacing w:line="360" w:lineRule="auto"/>
              <w:textAlignment w:val="auto"/>
              <w:rPr>
                <w:rFonts w:ascii="宋体" w:hAnsi="宋体"/>
                <w:bCs/>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060809EF">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bottom"/>
          </w:tcPr>
          <w:p w14:paraId="0109303E">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403371A5">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7C389F10">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r w14:paraId="0A860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32C3A527">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3CC45AC2">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513B4460">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72F07E07">
            <w:pPr>
              <w:keepNext w:val="0"/>
              <w:keepLines w:val="0"/>
              <w:pageBreakBefore w:val="0"/>
              <w:kinsoku/>
              <w:wordWrap/>
              <w:overflowPunct/>
              <w:topLinePunct w:val="0"/>
              <w:bidi w:val="0"/>
              <w:spacing w:line="360" w:lineRule="auto"/>
              <w:textAlignment w:val="auto"/>
              <w:rPr>
                <w:rFonts w:ascii="宋体" w:hAnsi="宋体"/>
                <w:bCs/>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390F0B06">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bottom"/>
          </w:tcPr>
          <w:p w14:paraId="15726B32">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23D5ADA6">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48AC41CC">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r w14:paraId="2E55F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3C7D9820">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58EDA0B3">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04A1D28C">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4C8801CA">
            <w:pPr>
              <w:keepNext w:val="0"/>
              <w:keepLines w:val="0"/>
              <w:pageBreakBefore w:val="0"/>
              <w:kinsoku/>
              <w:wordWrap/>
              <w:overflowPunct/>
              <w:topLinePunct w:val="0"/>
              <w:bidi w:val="0"/>
              <w:spacing w:line="360" w:lineRule="auto"/>
              <w:textAlignment w:val="auto"/>
              <w:rPr>
                <w:rFonts w:ascii="宋体" w:hAnsi="宋体"/>
                <w:bCs/>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051CCF89">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bottom"/>
          </w:tcPr>
          <w:p w14:paraId="7AC5FDF1">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43CC8AB7">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362CE66F">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r w14:paraId="31959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6C53CE29">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59B12313">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5BB17357">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5ABF5269">
            <w:pPr>
              <w:keepNext w:val="0"/>
              <w:keepLines w:val="0"/>
              <w:pageBreakBefore w:val="0"/>
              <w:kinsoku/>
              <w:wordWrap/>
              <w:overflowPunct/>
              <w:topLinePunct w:val="0"/>
              <w:bidi w:val="0"/>
              <w:spacing w:line="360" w:lineRule="auto"/>
              <w:textAlignment w:val="auto"/>
              <w:rPr>
                <w:rFonts w:ascii="宋体" w:hAnsi="宋体"/>
                <w:bCs/>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20E2393A">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bottom"/>
          </w:tcPr>
          <w:p w14:paraId="5D30B387">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14B4100B">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2809033C">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r w14:paraId="063E0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7D3AF750">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36009AD4">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0092C387">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43BE9842">
            <w:pPr>
              <w:keepNext w:val="0"/>
              <w:keepLines w:val="0"/>
              <w:pageBreakBefore w:val="0"/>
              <w:kinsoku/>
              <w:wordWrap/>
              <w:overflowPunct/>
              <w:topLinePunct w:val="0"/>
              <w:bidi w:val="0"/>
              <w:spacing w:line="360" w:lineRule="auto"/>
              <w:textAlignment w:val="auto"/>
              <w:rPr>
                <w:rFonts w:ascii="宋体" w:hAnsi="宋体"/>
                <w:bCs/>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1FB39A60">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bottom"/>
          </w:tcPr>
          <w:p w14:paraId="304AE6C0">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467058E0">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0C7831CD">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r w14:paraId="6FA9B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7686CCC5">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7694D3ED">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1AEC65EA">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51C23192">
            <w:pPr>
              <w:keepNext w:val="0"/>
              <w:keepLines w:val="0"/>
              <w:pageBreakBefore w:val="0"/>
              <w:kinsoku/>
              <w:wordWrap/>
              <w:overflowPunct/>
              <w:topLinePunct w:val="0"/>
              <w:bidi w:val="0"/>
              <w:spacing w:line="360" w:lineRule="auto"/>
              <w:textAlignment w:val="auto"/>
              <w:rPr>
                <w:rFonts w:ascii="宋体" w:hAnsi="宋体"/>
                <w:bCs/>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66430A54">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bottom"/>
          </w:tcPr>
          <w:p w14:paraId="354B435B">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0BEBFD34">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7A2C8E59">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r w14:paraId="77D68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01158DE3">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4960BF10">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23E8EA73">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703EC4A5">
            <w:pPr>
              <w:keepNext w:val="0"/>
              <w:keepLines w:val="0"/>
              <w:pageBreakBefore w:val="0"/>
              <w:kinsoku/>
              <w:wordWrap/>
              <w:overflowPunct/>
              <w:topLinePunct w:val="0"/>
              <w:bidi w:val="0"/>
              <w:spacing w:line="360" w:lineRule="auto"/>
              <w:textAlignment w:val="auto"/>
              <w:rPr>
                <w:rFonts w:ascii="宋体" w:hAnsi="宋体"/>
                <w:bCs/>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6DA43242">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bottom"/>
          </w:tcPr>
          <w:p w14:paraId="704D0065">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32499B2E">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691221F4">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r w14:paraId="77786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3EA067D7">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46146A3A">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32D311AE">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4880CEE6">
            <w:pPr>
              <w:keepNext w:val="0"/>
              <w:keepLines w:val="0"/>
              <w:pageBreakBefore w:val="0"/>
              <w:kinsoku/>
              <w:wordWrap/>
              <w:overflowPunct/>
              <w:topLinePunct w:val="0"/>
              <w:bidi w:val="0"/>
              <w:spacing w:line="360" w:lineRule="auto"/>
              <w:textAlignment w:val="auto"/>
              <w:rPr>
                <w:rFonts w:ascii="宋体" w:hAnsi="宋体"/>
                <w:bCs/>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79B600EC">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bottom"/>
          </w:tcPr>
          <w:p w14:paraId="5EC7498E">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30C8A2D0">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5F1E09DE">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r w14:paraId="2482B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336EED55">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61A64AE0">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582DDD90">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6B08988E">
            <w:pPr>
              <w:keepNext w:val="0"/>
              <w:keepLines w:val="0"/>
              <w:pageBreakBefore w:val="0"/>
              <w:kinsoku/>
              <w:wordWrap/>
              <w:overflowPunct/>
              <w:topLinePunct w:val="0"/>
              <w:bidi w:val="0"/>
              <w:spacing w:line="360" w:lineRule="auto"/>
              <w:textAlignment w:val="auto"/>
              <w:rPr>
                <w:rFonts w:ascii="宋体" w:hAnsi="宋体"/>
                <w:bCs/>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75A8C867">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bottom"/>
          </w:tcPr>
          <w:p w14:paraId="4CCA5B05">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4719534B">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34B8AF0A">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r w14:paraId="2A6CA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04CE8348">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0316A544">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271" w:type="dxa"/>
            <w:tcBorders>
              <w:top w:val="single" w:color="auto" w:sz="4" w:space="0"/>
              <w:left w:val="single" w:color="auto" w:sz="4" w:space="0"/>
              <w:bottom w:val="single" w:color="auto" w:sz="4" w:space="0"/>
              <w:right w:val="single" w:color="auto" w:sz="4" w:space="0"/>
            </w:tcBorders>
            <w:noWrap w:val="0"/>
            <w:vAlign w:val="center"/>
          </w:tcPr>
          <w:p w14:paraId="42122204">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15C6E919">
            <w:pPr>
              <w:keepNext w:val="0"/>
              <w:keepLines w:val="0"/>
              <w:pageBreakBefore w:val="0"/>
              <w:kinsoku/>
              <w:wordWrap/>
              <w:overflowPunct/>
              <w:topLinePunct w:val="0"/>
              <w:bidi w:val="0"/>
              <w:spacing w:line="360" w:lineRule="auto"/>
              <w:textAlignment w:val="auto"/>
              <w:rPr>
                <w:rFonts w:ascii="宋体" w:hAnsi="宋体"/>
                <w:bCs/>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7EB1E3B4">
            <w:pPr>
              <w:keepNext w:val="0"/>
              <w:keepLines w:val="0"/>
              <w:pageBreakBefore w:val="0"/>
              <w:kinsoku/>
              <w:wordWrap/>
              <w:overflowPunct/>
              <w:topLinePunct w:val="0"/>
              <w:bidi w:val="0"/>
              <w:spacing w:line="360" w:lineRule="auto"/>
              <w:jc w:val="center"/>
              <w:textAlignment w:val="auto"/>
              <w:rPr>
                <w:rFonts w:ascii="宋体" w:hAnsi="宋体"/>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bottom"/>
          </w:tcPr>
          <w:p w14:paraId="7EEE33D1">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713F0236">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32782664">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r w14:paraId="11CA9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16" w:type="dxa"/>
            <w:tcBorders>
              <w:top w:val="single" w:color="auto" w:sz="4" w:space="0"/>
              <w:left w:val="single" w:color="auto" w:sz="4" w:space="0"/>
              <w:bottom w:val="single" w:color="auto" w:sz="4" w:space="0"/>
              <w:right w:val="single" w:color="auto" w:sz="4" w:space="0"/>
            </w:tcBorders>
            <w:noWrap w:val="0"/>
            <w:vAlign w:val="center"/>
          </w:tcPr>
          <w:p w14:paraId="78E24BD5">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2048" w:type="dxa"/>
            <w:tcBorders>
              <w:top w:val="single" w:color="auto" w:sz="4" w:space="0"/>
              <w:left w:val="single" w:color="auto" w:sz="4" w:space="0"/>
              <w:bottom w:val="single" w:color="auto" w:sz="4" w:space="0"/>
              <w:right w:val="single" w:color="auto" w:sz="4" w:space="0"/>
            </w:tcBorders>
            <w:noWrap w:val="0"/>
            <w:vAlign w:val="center"/>
          </w:tcPr>
          <w:p w14:paraId="192B4FB8">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r>
              <w:rPr>
                <w:rFonts w:hint="eastAsia" w:ascii="宋体" w:hAnsi="宋体"/>
                <w:bCs/>
                <w:color w:val="auto"/>
                <w:highlight w:val="none"/>
              </w:rPr>
              <w:t>合计</w:t>
            </w:r>
          </w:p>
        </w:tc>
        <w:tc>
          <w:tcPr>
            <w:tcW w:w="1271" w:type="dxa"/>
            <w:tcBorders>
              <w:top w:val="single" w:color="auto" w:sz="4" w:space="0"/>
              <w:left w:val="single" w:color="auto" w:sz="4" w:space="0"/>
              <w:bottom w:val="single" w:color="auto" w:sz="4" w:space="0"/>
              <w:right w:val="single" w:color="auto" w:sz="4" w:space="0"/>
            </w:tcBorders>
            <w:noWrap w:val="0"/>
            <w:vAlign w:val="center"/>
          </w:tcPr>
          <w:p w14:paraId="3A838CE2">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019" w:type="dxa"/>
            <w:tcBorders>
              <w:top w:val="single" w:color="auto" w:sz="4" w:space="0"/>
              <w:left w:val="single" w:color="auto" w:sz="4" w:space="0"/>
              <w:bottom w:val="single" w:color="auto" w:sz="4" w:space="0"/>
              <w:right w:val="single" w:color="auto" w:sz="4" w:space="0"/>
            </w:tcBorders>
            <w:noWrap w:val="0"/>
            <w:vAlign w:val="center"/>
          </w:tcPr>
          <w:p w14:paraId="07DBD72A">
            <w:pPr>
              <w:keepNext w:val="0"/>
              <w:keepLines w:val="0"/>
              <w:pageBreakBefore w:val="0"/>
              <w:kinsoku/>
              <w:wordWrap/>
              <w:overflowPunct/>
              <w:topLinePunct w:val="0"/>
              <w:bidi w:val="0"/>
              <w:spacing w:line="360" w:lineRule="auto"/>
              <w:textAlignment w:val="auto"/>
              <w:rPr>
                <w:rFonts w:ascii="宋体" w:hAnsi="宋体"/>
                <w:bCs/>
                <w:color w:val="auto"/>
                <w:highlight w:val="none"/>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50ADA4F3">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00" w:type="dxa"/>
            <w:tcBorders>
              <w:top w:val="single" w:color="auto" w:sz="4" w:space="0"/>
              <w:left w:val="single" w:color="auto" w:sz="4" w:space="0"/>
              <w:bottom w:val="single" w:color="auto" w:sz="4" w:space="0"/>
              <w:right w:val="single" w:color="auto" w:sz="4" w:space="0"/>
            </w:tcBorders>
            <w:noWrap w:val="0"/>
            <w:vAlign w:val="bottom"/>
          </w:tcPr>
          <w:p w14:paraId="297692D2">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414" w:type="dxa"/>
            <w:tcBorders>
              <w:top w:val="single" w:color="auto" w:sz="4" w:space="0"/>
              <w:left w:val="single" w:color="auto" w:sz="4" w:space="0"/>
              <w:bottom w:val="single" w:color="auto" w:sz="4" w:space="0"/>
              <w:right w:val="single" w:color="auto" w:sz="4" w:space="0"/>
            </w:tcBorders>
            <w:noWrap w:val="0"/>
            <w:vAlign w:val="center"/>
          </w:tcPr>
          <w:p w14:paraId="0BE1BFA1">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c>
          <w:tcPr>
            <w:tcW w:w="1190" w:type="dxa"/>
            <w:tcBorders>
              <w:top w:val="single" w:color="auto" w:sz="4" w:space="0"/>
              <w:left w:val="single" w:color="auto" w:sz="4" w:space="0"/>
              <w:bottom w:val="single" w:color="auto" w:sz="4" w:space="0"/>
              <w:right w:val="single" w:color="auto" w:sz="4" w:space="0"/>
            </w:tcBorders>
            <w:noWrap w:val="0"/>
            <w:vAlign w:val="center"/>
          </w:tcPr>
          <w:p w14:paraId="077DA8A7">
            <w:pPr>
              <w:keepNext w:val="0"/>
              <w:keepLines w:val="0"/>
              <w:pageBreakBefore w:val="0"/>
              <w:kinsoku/>
              <w:wordWrap/>
              <w:overflowPunct/>
              <w:topLinePunct w:val="0"/>
              <w:bidi w:val="0"/>
              <w:spacing w:line="360" w:lineRule="auto"/>
              <w:jc w:val="center"/>
              <w:textAlignment w:val="auto"/>
              <w:rPr>
                <w:rFonts w:ascii="宋体" w:hAnsi="宋体"/>
                <w:bCs/>
                <w:color w:val="auto"/>
                <w:highlight w:val="none"/>
              </w:rPr>
            </w:pPr>
          </w:p>
        </w:tc>
      </w:tr>
    </w:tbl>
    <w:p w14:paraId="47EE2168">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r>
        <w:rPr>
          <w:rFonts w:hint="eastAsia" w:ascii="宋体" w:hAnsi="宋体"/>
          <w:color w:val="auto"/>
          <w:highlight w:val="none"/>
        </w:rPr>
        <w:br w:type="page"/>
      </w:r>
      <w:r>
        <w:rPr>
          <w:rFonts w:hint="eastAsia" w:ascii="宋体" w:hAnsi="宋体" w:eastAsia="宋体" w:cs="宋体"/>
          <w:color w:val="auto"/>
          <w:kern w:val="0"/>
          <w:sz w:val="24"/>
          <w:szCs w:val="24"/>
          <w:highlight w:val="none"/>
        </w:rPr>
        <w:t>附件4 ：</w:t>
      </w:r>
      <w:r>
        <w:rPr>
          <w:rFonts w:hint="eastAsia" w:ascii="宋体" w:hAnsi="宋体" w:eastAsia="宋体" w:cs="宋体"/>
          <w:bCs/>
          <w:color w:val="auto"/>
          <w:sz w:val="24"/>
          <w:szCs w:val="24"/>
          <w:highlight w:val="none"/>
        </w:rPr>
        <w:t xml:space="preserve">       </w:t>
      </w:r>
    </w:p>
    <w:p w14:paraId="79D8DF6D">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
          <w:bCs/>
          <w:color w:val="auto"/>
          <w:kern w:val="0"/>
          <w:sz w:val="24"/>
          <w:szCs w:val="24"/>
          <w:highlight w:val="none"/>
        </w:rPr>
      </w:pPr>
      <w:bookmarkStart w:id="4" w:name="_Toc48509786"/>
      <w:bookmarkEnd w:id="4"/>
      <w:r>
        <w:rPr>
          <w:rFonts w:hint="eastAsia" w:ascii="宋体" w:hAnsi="宋体" w:eastAsia="宋体" w:cs="宋体"/>
          <w:b/>
          <w:bCs/>
          <w:color w:val="auto"/>
          <w:kern w:val="0"/>
          <w:sz w:val="24"/>
          <w:szCs w:val="24"/>
          <w:highlight w:val="none"/>
        </w:rPr>
        <w:t>建设工程安全防护、文明施工措施项目明细</w:t>
      </w:r>
    </w:p>
    <w:p w14:paraId="234BD060">
      <w:pPr>
        <w:keepNext w:val="0"/>
        <w:keepLines w:val="0"/>
        <w:pageBreakBefore w:val="0"/>
        <w:kinsoku/>
        <w:wordWrap/>
        <w:overflowPunct/>
        <w:topLinePunct w:val="0"/>
        <w:bidi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w:t>
      </w:r>
    </w:p>
    <w:tbl>
      <w:tblPr>
        <w:tblStyle w:val="8"/>
        <w:tblW w:w="897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1"/>
        <w:gridCol w:w="565"/>
        <w:gridCol w:w="1623"/>
        <w:gridCol w:w="6065"/>
      </w:tblGrid>
      <w:tr w14:paraId="1311E1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3" w:hRule="atLeast"/>
          <w:jc w:val="center"/>
        </w:trPr>
        <w:tc>
          <w:tcPr>
            <w:tcW w:w="721" w:type="dxa"/>
            <w:tcBorders>
              <w:top w:val="single" w:color="000000" w:sz="4" w:space="0"/>
              <w:left w:val="single" w:color="000000" w:sz="4" w:space="0"/>
              <w:bottom w:val="single" w:color="000000" w:sz="4" w:space="0"/>
              <w:right w:val="single" w:color="000000" w:sz="4" w:space="0"/>
            </w:tcBorders>
            <w:noWrap w:val="0"/>
            <w:vAlign w:val="center"/>
          </w:tcPr>
          <w:p w14:paraId="6A4FE82A">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类别</w:t>
            </w:r>
          </w:p>
        </w:tc>
        <w:tc>
          <w:tcPr>
            <w:tcW w:w="2188" w:type="dxa"/>
            <w:gridSpan w:val="2"/>
            <w:tcBorders>
              <w:top w:val="single" w:color="000000" w:sz="4" w:space="0"/>
              <w:left w:val="single" w:color="000000" w:sz="4" w:space="0"/>
              <w:bottom w:val="single" w:color="000000" w:sz="4" w:space="0"/>
              <w:right w:val="single" w:color="000000" w:sz="4" w:space="0"/>
            </w:tcBorders>
            <w:noWrap w:val="0"/>
            <w:vAlign w:val="center"/>
          </w:tcPr>
          <w:p w14:paraId="26E758DC">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065" w:type="dxa"/>
            <w:tcBorders>
              <w:top w:val="single" w:color="000000" w:sz="4" w:space="0"/>
              <w:left w:val="single" w:color="000000" w:sz="4" w:space="0"/>
              <w:bottom w:val="single" w:color="000000" w:sz="4" w:space="0"/>
              <w:right w:val="single" w:color="000000" w:sz="4" w:space="0"/>
            </w:tcBorders>
            <w:noWrap w:val="0"/>
            <w:vAlign w:val="center"/>
          </w:tcPr>
          <w:p w14:paraId="6DFB8680">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具体要求</w:t>
            </w:r>
          </w:p>
        </w:tc>
      </w:tr>
      <w:tr w14:paraId="3800FC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3" w:hRule="atLeast"/>
          <w:jc w:val="center"/>
        </w:trPr>
        <w:tc>
          <w:tcPr>
            <w:tcW w:w="721" w:type="dxa"/>
            <w:vMerge w:val="restart"/>
            <w:tcBorders>
              <w:top w:val="nil"/>
              <w:left w:val="single" w:color="000000" w:sz="4" w:space="0"/>
              <w:bottom w:val="single" w:color="000000" w:sz="4" w:space="0"/>
              <w:right w:val="single" w:color="000000" w:sz="4" w:space="0"/>
            </w:tcBorders>
            <w:noWrap w:val="0"/>
            <w:vAlign w:val="center"/>
          </w:tcPr>
          <w:p w14:paraId="6CF7E8CF">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文明施工与环境保护</w:t>
            </w:r>
          </w:p>
        </w:tc>
        <w:tc>
          <w:tcPr>
            <w:tcW w:w="2188" w:type="dxa"/>
            <w:gridSpan w:val="2"/>
            <w:tcBorders>
              <w:top w:val="single" w:color="000000" w:sz="4" w:space="0"/>
              <w:left w:val="single" w:color="000000" w:sz="4" w:space="0"/>
              <w:bottom w:val="single" w:color="000000" w:sz="4" w:space="0"/>
              <w:right w:val="single" w:color="000000" w:sz="4" w:space="0"/>
            </w:tcBorders>
            <w:noWrap w:val="0"/>
            <w:vAlign w:val="center"/>
          </w:tcPr>
          <w:p w14:paraId="4B0AB011">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安全警示标志牌</w:t>
            </w:r>
          </w:p>
        </w:tc>
        <w:tc>
          <w:tcPr>
            <w:tcW w:w="6065" w:type="dxa"/>
            <w:tcBorders>
              <w:top w:val="single" w:color="000000" w:sz="4" w:space="0"/>
              <w:left w:val="single" w:color="000000" w:sz="4" w:space="0"/>
              <w:bottom w:val="single" w:color="000000" w:sz="4" w:space="0"/>
              <w:right w:val="single" w:color="000000" w:sz="4" w:space="0"/>
            </w:tcBorders>
            <w:noWrap w:val="0"/>
            <w:vAlign w:val="center"/>
          </w:tcPr>
          <w:p w14:paraId="0887BC66">
            <w:pPr>
              <w:keepNext w:val="0"/>
              <w:keepLines w:val="0"/>
              <w:pageBreakBefore w:val="0"/>
              <w:kinsoku/>
              <w:wordWrap/>
              <w:overflowPunct/>
              <w:topLinePunct w:val="0"/>
              <w:bidi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在易发伤亡事故（或危险）处设置明显的、符合国家标准要求的安全警示标志牌</w:t>
            </w:r>
          </w:p>
        </w:tc>
      </w:tr>
      <w:tr w14:paraId="100B5C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4" w:hRule="atLeast"/>
          <w:jc w:val="center"/>
        </w:trPr>
        <w:tc>
          <w:tcPr>
            <w:tcW w:w="721" w:type="dxa"/>
            <w:vMerge w:val="continue"/>
            <w:tcBorders>
              <w:top w:val="nil"/>
              <w:left w:val="single" w:color="000000" w:sz="4" w:space="0"/>
              <w:bottom w:val="single" w:color="000000" w:sz="4" w:space="0"/>
              <w:right w:val="single" w:color="000000" w:sz="4" w:space="0"/>
            </w:tcBorders>
            <w:noWrap w:val="0"/>
            <w:vAlign w:val="center"/>
          </w:tcPr>
          <w:p w14:paraId="24AFEF24">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gridSpan w:val="2"/>
            <w:tcBorders>
              <w:top w:val="single" w:color="000000" w:sz="4" w:space="0"/>
              <w:left w:val="single" w:color="000000" w:sz="4" w:space="0"/>
              <w:bottom w:val="single" w:color="000000" w:sz="4" w:space="0"/>
              <w:right w:val="single" w:color="000000" w:sz="4" w:space="0"/>
            </w:tcBorders>
            <w:noWrap w:val="0"/>
            <w:vAlign w:val="center"/>
          </w:tcPr>
          <w:p w14:paraId="35E804B8">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现场围挡</w:t>
            </w:r>
          </w:p>
        </w:tc>
        <w:tc>
          <w:tcPr>
            <w:tcW w:w="6065" w:type="dxa"/>
            <w:tcBorders>
              <w:top w:val="single" w:color="000000" w:sz="4" w:space="0"/>
              <w:left w:val="single" w:color="000000" w:sz="4" w:space="0"/>
              <w:bottom w:val="single" w:color="000000" w:sz="4" w:space="0"/>
              <w:right w:val="single" w:color="000000" w:sz="4" w:space="0"/>
            </w:tcBorders>
            <w:noWrap w:val="0"/>
            <w:vAlign w:val="center"/>
          </w:tcPr>
          <w:p w14:paraId="297E744C">
            <w:pPr>
              <w:keepNext w:val="0"/>
              <w:keepLines w:val="0"/>
              <w:pageBreakBefore w:val="0"/>
              <w:kinsoku/>
              <w:wordWrap/>
              <w:overflowPunct/>
              <w:topLinePunct w:val="0"/>
              <w:bidi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参照《西安市人民政府办公厅关于印发西安市建设工程施工现场围挡及出入口管理规定的通知》（市政办发〔2016〕53号）及省、市、区相关文件要求设置。</w:t>
            </w:r>
          </w:p>
        </w:tc>
      </w:tr>
      <w:tr w14:paraId="76CD82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4" w:hRule="atLeast"/>
          <w:jc w:val="center"/>
        </w:trPr>
        <w:tc>
          <w:tcPr>
            <w:tcW w:w="721" w:type="dxa"/>
            <w:vMerge w:val="continue"/>
            <w:tcBorders>
              <w:top w:val="nil"/>
              <w:left w:val="single" w:color="000000" w:sz="4" w:space="0"/>
              <w:bottom w:val="single" w:color="000000" w:sz="4" w:space="0"/>
              <w:right w:val="single" w:color="000000" w:sz="4" w:space="0"/>
            </w:tcBorders>
            <w:noWrap w:val="0"/>
            <w:vAlign w:val="center"/>
          </w:tcPr>
          <w:p w14:paraId="780FC10E">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gridSpan w:val="2"/>
            <w:tcBorders>
              <w:top w:val="single" w:color="000000" w:sz="4" w:space="0"/>
              <w:left w:val="single" w:color="000000" w:sz="4" w:space="0"/>
              <w:bottom w:val="single" w:color="000000" w:sz="4" w:space="0"/>
              <w:right w:val="single" w:color="000000" w:sz="4" w:space="0"/>
            </w:tcBorders>
            <w:noWrap w:val="0"/>
            <w:vAlign w:val="center"/>
          </w:tcPr>
          <w:p w14:paraId="20036BDC">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五板一图</w:t>
            </w:r>
          </w:p>
        </w:tc>
        <w:tc>
          <w:tcPr>
            <w:tcW w:w="6065" w:type="dxa"/>
            <w:tcBorders>
              <w:top w:val="single" w:color="000000" w:sz="4" w:space="0"/>
              <w:left w:val="single" w:color="000000" w:sz="4" w:space="0"/>
              <w:bottom w:val="single" w:color="000000" w:sz="4" w:space="0"/>
              <w:right w:val="single" w:color="000000" w:sz="4" w:space="0"/>
            </w:tcBorders>
            <w:noWrap w:val="0"/>
            <w:vAlign w:val="center"/>
          </w:tcPr>
          <w:p w14:paraId="661CFFFB">
            <w:pPr>
              <w:keepNext w:val="0"/>
              <w:keepLines w:val="0"/>
              <w:pageBreakBefore w:val="0"/>
              <w:kinsoku/>
              <w:wordWrap/>
              <w:overflowPunct/>
              <w:topLinePunct w:val="0"/>
              <w:bidi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在进门处悬挂工程概况、管理人员名单及监督电话、安全生产、文明施工、消防保卫五板；施工现场总平面图。</w:t>
            </w:r>
          </w:p>
        </w:tc>
      </w:tr>
      <w:tr w14:paraId="5DE835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4" w:hRule="atLeast"/>
          <w:jc w:val="center"/>
        </w:trPr>
        <w:tc>
          <w:tcPr>
            <w:tcW w:w="721" w:type="dxa"/>
            <w:vMerge w:val="continue"/>
            <w:tcBorders>
              <w:top w:val="nil"/>
              <w:left w:val="single" w:color="000000" w:sz="4" w:space="0"/>
              <w:bottom w:val="single" w:color="000000" w:sz="4" w:space="0"/>
              <w:right w:val="single" w:color="000000" w:sz="4" w:space="0"/>
            </w:tcBorders>
            <w:noWrap w:val="0"/>
            <w:vAlign w:val="center"/>
          </w:tcPr>
          <w:p w14:paraId="2D9AE8E2">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gridSpan w:val="2"/>
            <w:tcBorders>
              <w:top w:val="single" w:color="000000" w:sz="4" w:space="0"/>
              <w:left w:val="single" w:color="000000" w:sz="4" w:space="0"/>
              <w:bottom w:val="single" w:color="000000" w:sz="4" w:space="0"/>
              <w:right w:val="single" w:color="000000" w:sz="4" w:space="0"/>
            </w:tcBorders>
            <w:noWrap w:val="0"/>
            <w:vAlign w:val="center"/>
          </w:tcPr>
          <w:p w14:paraId="58D8FF71">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企业标志</w:t>
            </w:r>
          </w:p>
        </w:tc>
        <w:tc>
          <w:tcPr>
            <w:tcW w:w="6065" w:type="dxa"/>
            <w:tcBorders>
              <w:top w:val="single" w:color="000000" w:sz="4" w:space="0"/>
              <w:left w:val="single" w:color="000000" w:sz="4" w:space="0"/>
              <w:bottom w:val="single" w:color="000000" w:sz="4" w:space="0"/>
              <w:right w:val="single" w:color="000000" w:sz="4" w:space="0"/>
            </w:tcBorders>
            <w:noWrap w:val="0"/>
            <w:vAlign w:val="center"/>
          </w:tcPr>
          <w:p w14:paraId="02FA2272">
            <w:pPr>
              <w:keepNext w:val="0"/>
              <w:keepLines w:val="0"/>
              <w:pageBreakBefore w:val="0"/>
              <w:kinsoku/>
              <w:wordWrap/>
              <w:overflowPunct/>
              <w:topLinePunct w:val="0"/>
              <w:bidi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现场出入的大门应设有本企业标识或企业标识</w:t>
            </w:r>
          </w:p>
        </w:tc>
      </w:tr>
      <w:tr w14:paraId="50790A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4" w:hRule="atLeast"/>
          <w:jc w:val="center"/>
        </w:trPr>
        <w:tc>
          <w:tcPr>
            <w:tcW w:w="721" w:type="dxa"/>
            <w:vMerge w:val="continue"/>
            <w:tcBorders>
              <w:top w:val="nil"/>
              <w:left w:val="single" w:color="000000" w:sz="4" w:space="0"/>
              <w:bottom w:val="single" w:color="000000" w:sz="4" w:space="0"/>
              <w:right w:val="single" w:color="000000" w:sz="4" w:space="0"/>
            </w:tcBorders>
            <w:noWrap w:val="0"/>
            <w:vAlign w:val="center"/>
          </w:tcPr>
          <w:p w14:paraId="42B98DF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gridSpan w:val="2"/>
            <w:tcBorders>
              <w:top w:val="single" w:color="000000" w:sz="4" w:space="0"/>
              <w:left w:val="single" w:color="000000" w:sz="4" w:space="0"/>
              <w:bottom w:val="single" w:color="000000" w:sz="4" w:space="0"/>
              <w:right w:val="single" w:color="000000" w:sz="4" w:space="0"/>
            </w:tcBorders>
            <w:noWrap w:val="0"/>
            <w:vAlign w:val="center"/>
          </w:tcPr>
          <w:p w14:paraId="00397694">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场容场貌</w:t>
            </w:r>
          </w:p>
        </w:tc>
        <w:tc>
          <w:tcPr>
            <w:tcW w:w="6065" w:type="dxa"/>
            <w:tcBorders>
              <w:top w:val="single" w:color="000000" w:sz="4" w:space="0"/>
              <w:left w:val="single" w:color="000000" w:sz="4" w:space="0"/>
              <w:bottom w:val="single" w:color="000000" w:sz="4" w:space="0"/>
              <w:right w:val="single" w:color="000000" w:sz="4" w:space="0"/>
            </w:tcBorders>
            <w:noWrap w:val="0"/>
            <w:vAlign w:val="center"/>
          </w:tcPr>
          <w:p w14:paraId="5D57B0AF">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（1）道路畅通；（2）排水沟、排水设施通畅；</w:t>
            </w:r>
          </w:p>
          <w:p w14:paraId="32B3BB53">
            <w:pPr>
              <w:keepNext w:val="0"/>
              <w:keepLines w:val="0"/>
              <w:pageBreakBefore w:val="0"/>
              <w:kinsoku/>
              <w:wordWrap/>
              <w:overflowPunct/>
              <w:topLinePunct w:val="0"/>
              <w:bidi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（3）工地地面硬化处理；（4）绿化。</w:t>
            </w:r>
          </w:p>
        </w:tc>
      </w:tr>
      <w:tr w14:paraId="561EDD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4" w:hRule="atLeast"/>
          <w:jc w:val="center"/>
        </w:trPr>
        <w:tc>
          <w:tcPr>
            <w:tcW w:w="721" w:type="dxa"/>
            <w:vMerge w:val="continue"/>
            <w:tcBorders>
              <w:top w:val="nil"/>
              <w:left w:val="single" w:color="000000" w:sz="4" w:space="0"/>
              <w:bottom w:val="single" w:color="000000" w:sz="4" w:space="0"/>
              <w:right w:val="single" w:color="000000" w:sz="4" w:space="0"/>
            </w:tcBorders>
            <w:noWrap w:val="0"/>
            <w:vAlign w:val="center"/>
          </w:tcPr>
          <w:p w14:paraId="1A284F31">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gridSpan w:val="2"/>
            <w:tcBorders>
              <w:top w:val="single" w:color="000000" w:sz="4" w:space="0"/>
              <w:left w:val="single" w:color="000000" w:sz="4" w:space="0"/>
              <w:bottom w:val="single" w:color="000000" w:sz="4" w:space="0"/>
              <w:right w:val="single" w:color="000000" w:sz="4" w:space="0"/>
            </w:tcBorders>
            <w:noWrap w:val="0"/>
            <w:vAlign w:val="center"/>
          </w:tcPr>
          <w:p w14:paraId="27D0C037">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材料堆放</w:t>
            </w:r>
          </w:p>
        </w:tc>
        <w:tc>
          <w:tcPr>
            <w:tcW w:w="6065" w:type="dxa"/>
            <w:tcBorders>
              <w:top w:val="single" w:color="000000" w:sz="4" w:space="0"/>
              <w:left w:val="single" w:color="000000" w:sz="4" w:space="0"/>
              <w:bottom w:val="single" w:color="000000" w:sz="4" w:space="0"/>
              <w:right w:val="single" w:color="000000" w:sz="4" w:space="0"/>
            </w:tcBorders>
            <w:noWrap w:val="0"/>
            <w:vAlign w:val="center"/>
          </w:tcPr>
          <w:p w14:paraId="3A775D63">
            <w:pPr>
              <w:keepNext w:val="0"/>
              <w:keepLines w:val="0"/>
              <w:pageBreakBefore w:val="0"/>
              <w:kinsoku/>
              <w:wordWrap/>
              <w:overflowPunct/>
              <w:topLinePunct w:val="0"/>
              <w:bidi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（1）材料、构件、料具等堆放时，悬挂有名称、品种、规格等标牌；（2）水泥和其他易飞扬细颗粒建筑材料应密闭存放或采取覆盖等措施；（3）易燃、易爆和有毒有害物品分类存放。</w:t>
            </w:r>
          </w:p>
        </w:tc>
      </w:tr>
      <w:tr w14:paraId="509A64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4" w:hRule="atLeast"/>
          <w:jc w:val="center"/>
        </w:trPr>
        <w:tc>
          <w:tcPr>
            <w:tcW w:w="721" w:type="dxa"/>
            <w:vMerge w:val="continue"/>
            <w:tcBorders>
              <w:top w:val="nil"/>
              <w:left w:val="single" w:color="000000" w:sz="4" w:space="0"/>
              <w:bottom w:val="single" w:color="000000" w:sz="4" w:space="0"/>
              <w:right w:val="single" w:color="000000" w:sz="4" w:space="0"/>
            </w:tcBorders>
            <w:noWrap w:val="0"/>
            <w:vAlign w:val="center"/>
          </w:tcPr>
          <w:p w14:paraId="4E35391B">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gridSpan w:val="2"/>
            <w:tcBorders>
              <w:top w:val="single" w:color="000000" w:sz="4" w:space="0"/>
              <w:left w:val="single" w:color="000000" w:sz="4" w:space="0"/>
              <w:bottom w:val="single" w:color="000000" w:sz="4" w:space="0"/>
              <w:right w:val="single" w:color="000000" w:sz="4" w:space="0"/>
            </w:tcBorders>
            <w:noWrap w:val="0"/>
            <w:vAlign w:val="center"/>
          </w:tcPr>
          <w:p w14:paraId="0AF918E7">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现场防火</w:t>
            </w:r>
          </w:p>
        </w:tc>
        <w:tc>
          <w:tcPr>
            <w:tcW w:w="6065" w:type="dxa"/>
            <w:tcBorders>
              <w:top w:val="single" w:color="000000" w:sz="4" w:space="0"/>
              <w:left w:val="single" w:color="000000" w:sz="4" w:space="0"/>
              <w:bottom w:val="single" w:color="000000" w:sz="4" w:space="0"/>
              <w:right w:val="single" w:color="000000" w:sz="4" w:space="0"/>
            </w:tcBorders>
            <w:noWrap w:val="0"/>
            <w:vAlign w:val="center"/>
          </w:tcPr>
          <w:p w14:paraId="05D899E4">
            <w:pPr>
              <w:keepNext w:val="0"/>
              <w:keepLines w:val="0"/>
              <w:pageBreakBefore w:val="0"/>
              <w:kinsoku/>
              <w:wordWrap/>
              <w:overflowPunct/>
              <w:topLinePunct w:val="0"/>
              <w:bidi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消防器材配置合理，符合消防要求。</w:t>
            </w:r>
          </w:p>
        </w:tc>
      </w:tr>
      <w:tr w14:paraId="38028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4" w:hRule="atLeast"/>
          <w:jc w:val="center"/>
        </w:trPr>
        <w:tc>
          <w:tcPr>
            <w:tcW w:w="721" w:type="dxa"/>
            <w:vMerge w:val="continue"/>
            <w:tcBorders>
              <w:top w:val="nil"/>
              <w:left w:val="single" w:color="000000" w:sz="4" w:space="0"/>
              <w:bottom w:val="single" w:color="auto" w:sz="4" w:space="0"/>
              <w:right w:val="single" w:color="000000" w:sz="4" w:space="0"/>
            </w:tcBorders>
            <w:noWrap w:val="0"/>
            <w:vAlign w:val="center"/>
          </w:tcPr>
          <w:p w14:paraId="6E84A29A">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gridSpan w:val="2"/>
            <w:tcBorders>
              <w:top w:val="single" w:color="000000" w:sz="4" w:space="0"/>
              <w:left w:val="single" w:color="000000" w:sz="4" w:space="0"/>
              <w:bottom w:val="single" w:color="auto" w:sz="4" w:space="0"/>
              <w:right w:val="single" w:color="000000" w:sz="4" w:space="0"/>
            </w:tcBorders>
            <w:noWrap w:val="0"/>
            <w:vAlign w:val="center"/>
          </w:tcPr>
          <w:p w14:paraId="78693BD8">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垃圾清运</w:t>
            </w:r>
          </w:p>
        </w:tc>
        <w:tc>
          <w:tcPr>
            <w:tcW w:w="6065" w:type="dxa"/>
            <w:tcBorders>
              <w:top w:val="single" w:color="000000" w:sz="4" w:space="0"/>
              <w:left w:val="single" w:color="000000" w:sz="4" w:space="0"/>
              <w:bottom w:val="single" w:color="auto" w:sz="4" w:space="0"/>
              <w:right w:val="single" w:color="000000" w:sz="4" w:space="0"/>
            </w:tcBorders>
            <w:noWrap w:val="0"/>
            <w:vAlign w:val="center"/>
          </w:tcPr>
          <w:p w14:paraId="4F09F25C">
            <w:pPr>
              <w:keepNext w:val="0"/>
              <w:keepLines w:val="0"/>
              <w:pageBreakBefore w:val="0"/>
              <w:kinsoku/>
              <w:wordWrap/>
              <w:overflowPunct/>
              <w:topLinePunct w:val="0"/>
              <w:bidi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施工现场应设置密闭式垃圾站，施工垃圾、生活垃圾应分类存放。施工垃圾必须采用相应容器或管道运输。</w:t>
            </w:r>
          </w:p>
        </w:tc>
      </w:tr>
      <w:tr w14:paraId="271967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06" w:hRule="atLeast"/>
          <w:jc w:val="center"/>
        </w:trPr>
        <w:tc>
          <w:tcPr>
            <w:tcW w:w="721" w:type="dxa"/>
            <w:vMerge w:val="restart"/>
            <w:tcBorders>
              <w:top w:val="single" w:color="auto" w:sz="4" w:space="0"/>
              <w:left w:val="single" w:color="auto" w:sz="4" w:space="0"/>
              <w:bottom w:val="single" w:color="auto" w:sz="4" w:space="0"/>
              <w:right w:val="single" w:color="auto" w:sz="4" w:space="0"/>
            </w:tcBorders>
            <w:noWrap w:val="0"/>
            <w:vAlign w:val="center"/>
          </w:tcPr>
          <w:p w14:paraId="3F786726">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临时设施</w:t>
            </w:r>
          </w:p>
        </w:tc>
        <w:tc>
          <w:tcPr>
            <w:tcW w:w="2188" w:type="dxa"/>
            <w:gridSpan w:val="2"/>
            <w:tcBorders>
              <w:top w:val="single" w:color="auto" w:sz="4" w:space="0"/>
              <w:left w:val="single" w:color="auto" w:sz="4" w:space="0"/>
              <w:bottom w:val="single" w:color="auto" w:sz="4" w:space="0"/>
              <w:right w:val="single" w:color="auto" w:sz="4" w:space="0"/>
            </w:tcBorders>
            <w:noWrap w:val="0"/>
            <w:vAlign w:val="center"/>
          </w:tcPr>
          <w:p w14:paraId="68B3A6BE">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现场办公</w:t>
            </w:r>
          </w:p>
          <w:p w14:paraId="17AF8A4E">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生活设施</w:t>
            </w:r>
          </w:p>
        </w:tc>
        <w:tc>
          <w:tcPr>
            <w:tcW w:w="6065" w:type="dxa"/>
            <w:tcBorders>
              <w:top w:val="single" w:color="auto" w:sz="4" w:space="0"/>
              <w:left w:val="single" w:color="auto" w:sz="4" w:space="0"/>
              <w:bottom w:val="single" w:color="auto" w:sz="4" w:space="0"/>
              <w:right w:val="single" w:color="auto" w:sz="4" w:space="0"/>
            </w:tcBorders>
            <w:noWrap w:val="0"/>
            <w:vAlign w:val="center"/>
          </w:tcPr>
          <w:p w14:paraId="62F00073">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（1）施工现场办公、生活区与作业区分开设置，保持安全距离。</w:t>
            </w:r>
          </w:p>
          <w:p w14:paraId="1606C1A3">
            <w:pPr>
              <w:keepNext w:val="0"/>
              <w:keepLines w:val="0"/>
              <w:pageBreakBefore w:val="0"/>
              <w:kinsoku/>
              <w:wordWrap/>
              <w:overflowPunct/>
              <w:topLinePunct w:val="0"/>
              <w:bidi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（2）工地办公室、现场宿舍、食堂、厕所、饮水、休息场所符合卫生和安全要求。</w:t>
            </w:r>
          </w:p>
        </w:tc>
      </w:tr>
      <w:tr w14:paraId="768D93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4" w:hRule="atLeast"/>
          <w:jc w:val="center"/>
        </w:trPr>
        <w:tc>
          <w:tcPr>
            <w:tcW w:w="721" w:type="dxa"/>
            <w:vMerge w:val="continue"/>
            <w:tcBorders>
              <w:top w:val="single" w:color="auto" w:sz="4" w:space="0"/>
              <w:left w:val="single" w:color="auto" w:sz="4" w:space="0"/>
              <w:bottom w:val="single" w:color="auto" w:sz="4" w:space="0"/>
              <w:right w:val="single" w:color="auto" w:sz="4" w:space="0"/>
            </w:tcBorders>
            <w:noWrap w:val="0"/>
            <w:vAlign w:val="center"/>
          </w:tcPr>
          <w:p w14:paraId="2585011C">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565" w:type="dxa"/>
            <w:vMerge w:val="restart"/>
            <w:tcBorders>
              <w:top w:val="single" w:color="auto" w:sz="4" w:space="0"/>
              <w:left w:val="single" w:color="auto" w:sz="4" w:space="0"/>
              <w:bottom w:val="single" w:color="auto" w:sz="4" w:space="0"/>
              <w:right w:val="single" w:color="auto" w:sz="4" w:space="0"/>
            </w:tcBorders>
            <w:noWrap w:val="0"/>
            <w:vAlign w:val="center"/>
          </w:tcPr>
          <w:p w14:paraId="33FCFB5A">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施工现场临时用电</w:t>
            </w:r>
          </w:p>
        </w:tc>
        <w:tc>
          <w:tcPr>
            <w:tcW w:w="1623" w:type="dxa"/>
            <w:tcBorders>
              <w:top w:val="single" w:color="auto" w:sz="4" w:space="0"/>
              <w:left w:val="single" w:color="auto" w:sz="4" w:space="0"/>
              <w:bottom w:val="single" w:color="auto" w:sz="4" w:space="0"/>
              <w:right w:val="single" w:color="auto" w:sz="4" w:space="0"/>
            </w:tcBorders>
            <w:noWrap w:val="0"/>
            <w:vAlign w:val="center"/>
          </w:tcPr>
          <w:p w14:paraId="515E54CA">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配电线路</w:t>
            </w:r>
          </w:p>
        </w:tc>
        <w:tc>
          <w:tcPr>
            <w:tcW w:w="6065" w:type="dxa"/>
            <w:tcBorders>
              <w:top w:val="single" w:color="auto" w:sz="4" w:space="0"/>
              <w:left w:val="single" w:color="auto" w:sz="4" w:space="0"/>
              <w:bottom w:val="single" w:color="auto" w:sz="4" w:space="0"/>
              <w:right w:val="single" w:color="auto" w:sz="4" w:space="0"/>
            </w:tcBorders>
            <w:noWrap w:val="0"/>
            <w:vAlign w:val="center"/>
          </w:tcPr>
          <w:p w14:paraId="536A9738">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spacing w:val="-14"/>
                <w:sz w:val="24"/>
                <w:szCs w:val="24"/>
                <w:highlight w:val="none"/>
              </w:rPr>
            </w:pPr>
            <w:r>
              <w:rPr>
                <w:rFonts w:hint="eastAsia" w:ascii="宋体" w:hAnsi="宋体" w:eastAsia="宋体" w:cs="宋体"/>
                <w:color w:val="auto"/>
                <w:spacing w:val="-14"/>
                <w:sz w:val="24"/>
                <w:szCs w:val="24"/>
                <w:highlight w:val="none"/>
              </w:rPr>
              <w:t>（1）按照TN-S系统要求配备五芯电缆、四芯电缆和三芯电缆。</w:t>
            </w:r>
          </w:p>
          <w:p w14:paraId="77CAC36F">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（2）按要求架设临时用电线路的电杆、横担、瓷夹、瓷瓶等，或电缆埋地的地沟。</w:t>
            </w:r>
          </w:p>
          <w:p w14:paraId="0155E6FB">
            <w:pPr>
              <w:keepNext w:val="0"/>
              <w:keepLines w:val="0"/>
              <w:pageBreakBefore w:val="0"/>
              <w:kinsoku/>
              <w:wordWrap/>
              <w:overflowPunct/>
              <w:topLinePunct w:val="0"/>
              <w:bidi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（3）对靠近施工现场的外电线路，设置木质、塑料等绝缘体的防护设施。</w:t>
            </w:r>
          </w:p>
        </w:tc>
      </w:tr>
      <w:tr w14:paraId="095B9E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4" w:hRule="atLeast"/>
          <w:jc w:val="center"/>
        </w:trPr>
        <w:tc>
          <w:tcPr>
            <w:tcW w:w="721" w:type="dxa"/>
            <w:vMerge w:val="continue"/>
            <w:tcBorders>
              <w:top w:val="single" w:color="auto" w:sz="4" w:space="0"/>
              <w:left w:val="single" w:color="auto" w:sz="4" w:space="0"/>
              <w:bottom w:val="single" w:color="auto" w:sz="4" w:space="0"/>
              <w:right w:val="single" w:color="auto" w:sz="4" w:space="0"/>
            </w:tcBorders>
            <w:noWrap w:val="0"/>
            <w:vAlign w:val="center"/>
          </w:tcPr>
          <w:p w14:paraId="48C5E19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vMerge w:val="continue"/>
            <w:tcBorders>
              <w:top w:val="single" w:color="auto" w:sz="4" w:space="0"/>
              <w:left w:val="single" w:color="auto" w:sz="4" w:space="0"/>
              <w:bottom w:val="single" w:color="auto" w:sz="4" w:space="0"/>
              <w:right w:val="single" w:color="auto" w:sz="4" w:space="0"/>
            </w:tcBorders>
            <w:noWrap w:val="0"/>
            <w:vAlign w:val="center"/>
          </w:tcPr>
          <w:p w14:paraId="4B09FDF8">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1623" w:type="dxa"/>
            <w:tcBorders>
              <w:top w:val="single" w:color="auto" w:sz="4" w:space="0"/>
              <w:left w:val="single" w:color="auto" w:sz="4" w:space="0"/>
              <w:bottom w:val="single" w:color="auto" w:sz="4" w:space="0"/>
              <w:right w:val="single" w:color="auto" w:sz="4" w:space="0"/>
            </w:tcBorders>
            <w:noWrap w:val="0"/>
            <w:vAlign w:val="center"/>
          </w:tcPr>
          <w:p w14:paraId="61242274">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配电箱</w:t>
            </w:r>
          </w:p>
          <w:p w14:paraId="4A417C0D">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开关箱</w:t>
            </w:r>
          </w:p>
        </w:tc>
        <w:tc>
          <w:tcPr>
            <w:tcW w:w="6065" w:type="dxa"/>
            <w:tcBorders>
              <w:top w:val="single" w:color="auto" w:sz="4" w:space="0"/>
              <w:left w:val="single" w:color="auto" w:sz="4" w:space="0"/>
              <w:bottom w:val="single" w:color="auto" w:sz="4" w:space="0"/>
              <w:right w:val="single" w:color="auto" w:sz="4" w:space="0"/>
            </w:tcBorders>
            <w:noWrap w:val="0"/>
            <w:vAlign w:val="center"/>
          </w:tcPr>
          <w:p w14:paraId="1148DD70">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（1）按三级配电要求，配备总配电箱、分配电箱、开关箱三类标准电箱。开关箱应符合一机、一箱、一闸、一漏。三类电箱中的各类电器应是合格品。</w:t>
            </w:r>
          </w:p>
          <w:p w14:paraId="084D68EF">
            <w:pPr>
              <w:keepNext w:val="0"/>
              <w:keepLines w:val="0"/>
              <w:pageBreakBefore w:val="0"/>
              <w:kinsoku/>
              <w:wordWrap/>
              <w:overflowPunct/>
              <w:topLinePunct w:val="0"/>
              <w:bidi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（2）按两级保护的要求，选取符合容量要求和质量合格的总配电箱和开关箱中的漏电保护器。</w:t>
            </w:r>
          </w:p>
        </w:tc>
      </w:tr>
      <w:tr w14:paraId="20097D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4" w:hRule="atLeast"/>
          <w:jc w:val="center"/>
        </w:trPr>
        <w:tc>
          <w:tcPr>
            <w:tcW w:w="721" w:type="dxa"/>
            <w:vMerge w:val="continue"/>
            <w:tcBorders>
              <w:top w:val="single" w:color="auto" w:sz="4" w:space="0"/>
              <w:left w:val="single" w:color="auto" w:sz="4" w:space="0"/>
              <w:bottom w:val="single" w:color="auto" w:sz="4" w:space="0"/>
              <w:right w:val="single" w:color="auto" w:sz="4" w:space="0"/>
            </w:tcBorders>
            <w:noWrap w:val="0"/>
            <w:vAlign w:val="center"/>
          </w:tcPr>
          <w:p w14:paraId="0A574821">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vMerge w:val="continue"/>
            <w:tcBorders>
              <w:top w:val="single" w:color="auto" w:sz="4" w:space="0"/>
              <w:left w:val="single" w:color="auto" w:sz="4" w:space="0"/>
              <w:bottom w:val="single" w:color="auto" w:sz="4" w:space="0"/>
              <w:right w:val="single" w:color="auto" w:sz="4" w:space="0"/>
            </w:tcBorders>
            <w:noWrap w:val="0"/>
            <w:vAlign w:val="center"/>
          </w:tcPr>
          <w:p w14:paraId="7A2525EA">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1623" w:type="dxa"/>
            <w:tcBorders>
              <w:top w:val="single" w:color="auto" w:sz="4" w:space="0"/>
              <w:left w:val="single" w:color="auto" w:sz="4" w:space="0"/>
              <w:bottom w:val="single" w:color="auto" w:sz="4" w:space="0"/>
              <w:right w:val="single" w:color="auto" w:sz="4" w:space="0"/>
            </w:tcBorders>
            <w:noWrap w:val="0"/>
            <w:vAlign w:val="center"/>
          </w:tcPr>
          <w:p w14:paraId="19A9FE15">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接地保护</w:t>
            </w:r>
          </w:p>
          <w:p w14:paraId="44E79663">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装置</w:t>
            </w:r>
          </w:p>
        </w:tc>
        <w:tc>
          <w:tcPr>
            <w:tcW w:w="6065" w:type="dxa"/>
            <w:tcBorders>
              <w:top w:val="single" w:color="auto" w:sz="4" w:space="0"/>
              <w:left w:val="single" w:color="auto" w:sz="4" w:space="0"/>
              <w:bottom w:val="single" w:color="auto" w:sz="4" w:space="0"/>
              <w:right w:val="single" w:color="auto" w:sz="4" w:space="0"/>
            </w:tcBorders>
            <w:noWrap w:val="0"/>
            <w:vAlign w:val="center"/>
          </w:tcPr>
          <w:p w14:paraId="2A259D74">
            <w:pPr>
              <w:keepNext w:val="0"/>
              <w:keepLines w:val="0"/>
              <w:pageBreakBefore w:val="0"/>
              <w:kinsoku/>
              <w:wordWrap/>
              <w:overflowPunct/>
              <w:topLinePunct w:val="0"/>
              <w:bidi w:val="0"/>
              <w:spacing w:line="360" w:lineRule="auto"/>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施工现场保护零线的重复接地应不少于三处。</w:t>
            </w:r>
          </w:p>
        </w:tc>
      </w:tr>
      <w:tr w14:paraId="6699FA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3" w:hRule="atLeast"/>
          <w:jc w:val="center"/>
        </w:trPr>
        <w:tc>
          <w:tcPr>
            <w:tcW w:w="721" w:type="dxa"/>
            <w:vMerge w:val="continue"/>
            <w:tcBorders>
              <w:top w:val="single" w:color="auto" w:sz="4" w:space="0"/>
              <w:left w:val="single" w:color="auto" w:sz="4" w:space="0"/>
              <w:bottom w:val="single" w:color="auto" w:sz="4" w:space="0"/>
              <w:right w:val="single" w:color="auto" w:sz="4" w:space="0"/>
            </w:tcBorders>
            <w:noWrap w:val="0"/>
            <w:vAlign w:val="center"/>
          </w:tcPr>
          <w:p w14:paraId="411C3543">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vMerge w:val="continue"/>
            <w:tcBorders>
              <w:top w:val="single" w:color="auto" w:sz="4" w:space="0"/>
              <w:left w:val="single" w:color="auto" w:sz="4" w:space="0"/>
              <w:bottom w:val="single" w:color="auto" w:sz="4" w:space="0"/>
              <w:right w:val="single" w:color="auto" w:sz="4" w:space="0"/>
            </w:tcBorders>
            <w:noWrap w:val="0"/>
            <w:vAlign w:val="center"/>
          </w:tcPr>
          <w:p w14:paraId="3A432CF0">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1623" w:type="dxa"/>
            <w:tcBorders>
              <w:top w:val="single" w:color="auto" w:sz="4" w:space="0"/>
              <w:left w:val="single" w:color="auto" w:sz="4" w:space="0"/>
              <w:bottom w:val="single" w:color="auto" w:sz="4" w:space="0"/>
              <w:right w:val="single" w:color="auto" w:sz="4" w:space="0"/>
            </w:tcBorders>
            <w:noWrap w:val="0"/>
            <w:vAlign w:val="center"/>
          </w:tcPr>
          <w:p w14:paraId="2064DEF5">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预留洞口防护</w:t>
            </w:r>
          </w:p>
        </w:tc>
        <w:tc>
          <w:tcPr>
            <w:tcW w:w="6065" w:type="dxa"/>
            <w:tcBorders>
              <w:top w:val="single" w:color="auto" w:sz="4" w:space="0"/>
              <w:left w:val="single" w:color="auto" w:sz="4" w:space="0"/>
              <w:bottom w:val="single" w:color="auto" w:sz="4" w:space="0"/>
              <w:right w:val="single" w:color="auto" w:sz="4" w:space="0"/>
            </w:tcBorders>
            <w:noWrap w:val="0"/>
            <w:vAlign w:val="center"/>
          </w:tcPr>
          <w:p w14:paraId="5FA0D505">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用木板全封闭；短边超过1.5m长的洞口，除封闭外四周还应设有防护栏杆。</w:t>
            </w:r>
          </w:p>
        </w:tc>
      </w:tr>
      <w:tr w14:paraId="3D8EE1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3" w:hRule="atLeast"/>
          <w:jc w:val="center"/>
        </w:trPr>
        <w:tc>
          <w:tcPr>
            <w:tcW w:w="721" w:type="dxa"/>
            <w:vMerge w:val="continue"/>
            <w:tcBorders>
              <w:top w:val="single" w:color="auto" w:sz="4" w:space="0"/>
              <w:left w:val="single" w:color="auto" w:sz="4" w:space="0"/>
              <w:bottom w:val="single" w:color="auto" w:sz="4" w:space="0"/>
              <w:right w:val="single" w:color="auto" w:sz="4" w:space="0"/>
            </w:tcBorders>
            <w:noWrap w:val="0"/>
            <w:vAlign w:val="center"/>
          </w:tcPr>
          <w:p w14:paraId="11BC612E">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vMerge w:val="continue"/>
            <w:tcBorders>
              <w:top w:val="single" w:color="auto" w:sz="4" w:space="0"/>
              <w:left w:val="single" w:color="auto" w:sz="4" w:space="0"/>
              <w:bottom w:val="single" w:color="auto" w:sz="4" w:space="0"/>
              <w:right w:val="single" w:color="auto" w:sz="4" w:space="0"/>
            </w:tcBorders>
            <w:noWrap w:val="0"/>
            <w:vAlign w:val="center"/>
          </w:tcPr>
          <w:p w14:paraId="710D67A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1623" w:type="dxa"/>
            <w:tcBorders>
              <w:top w:val="single" w:color="auto" w:sz="4" w:space="0"/>
              <w:left w:val="single" w:color="auto" w:sz="4" w:space="0"/>
              <w:bottom w:val="single" w:color="auto" w:sz="4" w:space="0"/>
              <w:right w:val="single" w:color="auto" w:sz="4" w:space="0"/>
            </w:tcBorders>
            <w:noWrap w:val="0"/>
            <w:vAlign w:val="center"/>
          </w:tcPr>
          <w:p w14:paraId="68515494">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垂直方向交叉作业防护</w:t>
            </w:r>
          </w:p>
        </w:tc>
        <w:tc>
          <w:tcPr>
            <w:tcW w:w="6065" w:type="dxa"/>
            <w:tcBorders>
              <w:top w:val="single" w:color="auto" w:sz="4" w:space="0"/>
              <w:left w:val="single" w:color="auto" w:sz="4" w:space="0"/>
              <w:bottom w:val="single" w:color="auto" w:sz="4" w:space="0"/>
              <w:right w:val="single" w:color="auto" w:sz="4" w:space="0"/>
            </w:tcBorders>
            <w:noWrap w:val="0"/>
            <w:vAlign w:val="center"/>
          </w:tcPr>
          <w:p w14:paraId="49EBBD99">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设置防护隔离棚或其他设施。</w:t>
            </w:r>
          </w:p>
        </w:tc>
      </w:tr>
      <w:tr w14:paraId="3465DB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3" w:hRule="atLeast"/>
          <w:jc w:val="center"/>
        </w:trPr>
        <w:tc>
          <w:tcPr>
            <w:tcW w:w="721" w:type="dxa"/>
            <w:vMerge w:val="continue"/>
            <w:tcBorders>
              <w:top w:val="single" w:color="auto" w:sz="4" w:space="0"/>
              <w:left w:val="single" w:color="auto" w:sz="4" w:space="0"/>
              <w:bottom w:val="single" w:color="auto" w:sz="4" w:space="0"/>
              <w:right w:val="single" w:color="auto" w:sz="4" w:space="0"/>
            </w:tcBorders>
            <w:noWrap w:val="0"/>
            <w:vAlign w:val="center"/>
          </w:tcPr>
          <w:p w14:paraId="6453F6C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gridSpan w:val="2"/>
            <w:tcBorders>
              <w:top w:val="single" w:color="auto" w:sz="4" w:space="0"/>
              <w:left w:val="single" w:color="auto" w:sz="4" w:space="0"/>
              <w:bottom w:val="single" w:color="auto" w:sz="4" w:space="0"/>
              <w:right w:val="single" w:color="auto" w:sz="4" w:space="0"/>
            </w:tcBorders>
            <w:noWrap w:val="0"/>
            <w:vAlign w:val="center"/>
          </w:tcPr>
          <w:p w14:paraId="127D1B76">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作业层护栏</w:t>
            </w:r>
          </w:p>
        </w:tc>
        <w:tc>
          <w:tcPr>
            <w:tcW w:w="6065" w:type="dxa"/>
            <w:tcBorders>
              <w:top w:val="single" w:color="auto" w:sz="4" w:space="0"/>
              <w:left w:val="single" w:color="auto" w:sz="4" w:space="0"/>
              <w:bottom w:val="single" w:color="auto" w:sz="4" w:space="0"/>
              <w:right w:val="single" w:color="auto" w:sz="4" w:space="0"/>
            </w:tcBorders>
            <w:noWrap w:val="0"/>
            <w:vAlign w:val="center"/>
          </w:tcPr>
          <w:p w14:paraId="35E284A2">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作业层还需在护栏内侧加设一道小孔安全网</w:t>
            </w:r>
          </w:p>
        </w:tc>
      </w:tr>
      <w:tr w14:paraId="79BA90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3" w:hRule="atLeast"/>
          <w:jc w:val="center"/>
        </w:trPr>
        <w:tc>
          <w:tcPr>
            <w:tcW w:w="721" w:type="dxa"/>
            <w:vMerge w:val="continue"/>
            <w:tcBorders>
              <w:top w:val="single" w:color="auto" w:sz="4" w:space="0"/>
              <w:left w:val="single" w:color="auto" w:sz="4" w:space="0"/>
              <w:bottom w:val="single" w:color="auto" w:sz="4" w:space="0"/>
              <w:right w:val="single" w:color="auto" w:sz="4" w:space="0"/>
            </w:tcBorders>
            <w:noWrap w:val="0"/>
            <w:vAlign w:val="center"/>
          </w:tcPr>
          <w:p w14:paraId="6AF2F49A">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gridSpan w:val="2"/>
            <w:tcBorders>
              <w:top w:val="single" w:color="auto" w:sz="4" w:space="0"/>
              <w:left w:val="single" w:color="auto" w:sz="4" w:space="0"/>
              <w:bottom w:val="single" w:color="auto" w:sz="4" w:space="0"/>
              <w:right w:val="single" w:color="auto" w:sz="4" w:space="0"/>
            </w:tcBorders>
            <w:noWrap w:val="0"/>
            <w:vAlign w:val="center"/>
          </w:tcPr>
          <w:p w14:paraId="024CBDA7">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临边防护</w:t>
            </w:r>
          </w:p>
        </w:tc>
        <w:tc>
          <w:tcPr>
            <w:tcW w:w="6065" w:type="dxa"/>
            <w:tcBorders>
              <w:top w:val="single" w:color="auto" w:sz="4" w:space="0"/>
              <w:left w:val="single" w:color="auto" w:sz="4" w:space="0"/>
              <w:bottom w:val="single" w:color="auto" w:sz="4" w:space="0"/>
              <w:right w:val="single" w:color="auto" w:sz="4" w:space="0"/>
            </w:tcBorders>
            <w:noWrap w:val="0"/>
            <w:vAlign w:val="center"/>
          </w:tcPr>
          <w:p w14:paraId="0A470D9D">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外侧临街道时，除设计护栏、满挂密目网全封闭处理外，内侧还需加挂小孔安全网加强防护</w:t>
            </w:r>
          </w:p>
        </w:tc>
      </w:tr>
      <w:tr w14:paraId="4A4F7D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3" w:hRule="atLeast"/>
          <w:jc w:val="center"/>
        </w:trPr>
        <w:tc>
          <w:tcPr>
            <w:tcW w:w="721" w:type="dxa"/>
            <w:vMerge w:val="continue"/>
            <w:tcBorders>
              <w:top w:val="single" w:color="auto" w:sz="4" w:space="0"/>
              <w:left w:val="single" w:color="auto" w:sz="4" w:space="0"/>
              <w:bottom w:val="single" w:color="auto" w:sz="4" w:space="0"/>
              <w:right w:val="single" w:color="auto" w:sz="4" w:space="0"/>
            </w:tcBorders>
            <w:noWrap w:val="0"/>
            <w:vAlign w:val="center"/>
          </w:tcPr>
          <w:p w14:paraId="5BB2E9C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gridSpan w:val="2"/>
            <w:tcBorders>
              <w:top w:val="single" w:color="auto" w:sz="4" w:space="0"/>
              <w:left w:val="single" w:color="auto" w:sz="4" w:space="0"/>
              <w:bottom w:val="single" w:color="auto" w:sz="4" w:space="0"/>
              <w:right w:val="single" w:color="auto" w:sz="4" w:space="0"/>
            </w:tcBorders>
            <w:noWrap w:val="0"/>
            <w:vAlign w:val="center"/>
          </w:tcPr>
          <w:p w14:paraId="7F28D7BA">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临边防护</w:t>
            </w:r>
          </w:p>
        </w:tc>
        <w:tc>
          <w:tcPr>
            <w:tcW w:w="6065" w:type="dxa"/>
            <w:tcBorders>
              <w:top w:val="single" w:color="auto" w:sz="4" w:space="0"/>
              <w:left w:val="single" w:color="auto" w:sz="4" w:space="0"/>
              <w:bottom w:val="single" w:color="auto" w:sz="4" w:space="0"/>
              <w:right w:val="single" w:color="auto" w:sz="4" w:space="0"/>
            </w:tcBorders>
            <w:noWrap w:val="0"/>
            <w:vAlign w:val="center"/>
          </w:tcPr>
          <w:p w14:paraId="4FBCC514">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挂架、爬架、悬挑架除用密目网全封闭处理外，内侧还需满加挂设小孔安全网防护</w:t>
            </w:r>
          </w:p>
        </w:tc>
      </w:tr>
      <w:tr w14:paraId="4F3268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3" w:hRule="atLeast"/>
          <w:jc w:val="center"/>
        </w:trPr>
        <w:tc>
          <w:tcPr>
            <w:tcW w:w="721" w:type="dxa"/>
            <w:vMerge w:val="continue"/>
            <w:tcBorders>
              <w:top w:val="single" w:color="auto" w:sz="4" w:space="0"/>
              <w:left w:val="single" w:color="auto" w:sz="4" w:space="0"/>
              <w:bottom w:val="single" w:color="auto" w:sz="4" w:space="0"/>
              <w:right w:val="single" w:color="auto" w:sz="4" w:space="0"/>
            </w:tcBorders>
            <w:noWrap w:val="0"/>
            <w:vAlign w:val="center"/>
          </w:tcPr>
          <w:p w14:paraId="72B4A691">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gridSpan w:val="2"/>
            <w:tcBorders>
              <w:top w:val="single" w:color="auto" w:sz="4" w:space="0"/>
              <w:left w:val="single" w:color="auto" w:sz="4" w:space="0"/>
              <w:bottom w:val="single" w:color="auto" w:sz="4" w:space="0"/>
              <w:right w:val="single" w:color="auto" w:sz="4" w:space="0"/>
            </w:tcBorders>
            <w:noWrap w:val="0"/>
            <w:vAlign w:val="center"/>
          </w:tcPr>
          <w:p w14:paraId="2FFC5169">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基坑支护</w:t>
            </w:r>
          </w:p>
        </w:tc>
        <w:tc>
          <w:tcPr>
            <w:tcW w:w="6065" w:type="dxa"/>
            <w:tcBorders>
              <w:top w:val="single" w:color="auto" w:sz="4" w:space="0"/>
              <w:left w:val="single" w:color="auto" w:sz="4" w:space="0"/>
              <w:bottom w:val="single" w:color="auto" w:sz="4" w:space="0"/>
              <w:right w:val="single" w:color="auto" w:sz="4" w:space="0"/>
            </w:tcBorders>
            <w:noWrap w:val="0"/>
            <w:vAlign w:val="center"/>
          </w:tcPr>
          <w:p w14:paraId="4FC608D2">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基坑支护应根据支护结构形式、挖深、地质条件、周围环境、地面载荷等制定边坡支护和临边防护实施方案</w:t>
            </w:r>
          </w:p>
        </w:tc>
      </w:tr>
      <w:tr w14:paraId="66A002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3" w:hRule="atLeast"/>
          <w:jc w:val="center"/>
        </w:trPr>
        <w:tc>
          <w:tcPr>
            <w:tcW w:w="721" w:type="dxa"/>
            <w:vMerge w:val="continue"/>
            <w:tcBorders>
              <w:top w:val="single" w:color="auto" w:sz="4" w:space="0"/>
              <w:left w:val="single" w:color="auto" w:sz="4" w:space="0"/>
              <w:bottom w:val="single" w:color="auto" w:sz="4" w:space="0"/>
              <w:right w:val="single" w:color="auto" w:sz="4" w:space="0"/>
            </w:tcBorders>
            <w:noWrap w:val="0"/>
            <w:vAlign w:val="center"/>
          </w:tcPr>
          <w:p w14:paraId="28197D53">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gridSpan w:val="2"/>
            <w:tcBorders>
              <w:top w:val="single" w:color="auto" w:sz="4" w:space="0"/>
              <w:left w:val="single" w:color="auto" w:sz="4" w:space="0"/>
              <w:bottom w:val="single" w:color="auto" w:sz="4" w:space="0"/>
              <w:right w:val="single" w:color="auto" w:sz="4" w:space="0"/>
            </w:tcBorders>
            <w:noWrap w:val="0"/>
            <w:vAlign w:val="center"/>
          </w:tcPr>
          <w:p w14:paraId="68B8B58D">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有限空间作业</w:t>
            </w:r>
          </w:p>
        </w:tc>
        <w:tc>
          <w:tcPr>
            <w:tcW w:w="6065" w:type="dxa"/>
            <w:tcBorders>
              <w:top w:val="single" w:color="auto" w:sz="4" w:space="0"/>
              <w:left w:val="single" w:color="auto" w:sz="4" w:space="0"/>
              <w:bottom w:val="single" w:color="auto" w:sz="4" w:space="0"/>
              <w:right w:val="single" w:color="auto" w:sz="4" w:space="0"/>
            </w:tcBorders>
            <w:noWrap w:val="0"/>
            <w:vAlign w:val="top"/>
          </w:tcPr>
          <w:p w14:paraId="5EC459A0">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根据现场实际情况制定作业方案，有限空间作业需办理许可证、设置标志及责任人，有限空间作业必须配备防护设备。</w:t>
            </w:r>
          </w:p>
        </w:tc>
      </w:tr>
      <w:tr w14:paraId="5C208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03" w:hRule="atLeast"/>
          <w:jc w:val="center"/>
        </w:trPr>
        <w:tc>
          <w:tcPr>
            <w:tcW w:w="721" w:type="dxa"/>
            <w:vMerge w:val="continue"/>
            <w:tcBorders>
              <w:top w:val="single" w:color="auto" w:sz="4" w:space="0"/>
              <w:left w:val="single" w:color="auto" w:sz="4" w:space="0"/>
              <w:bottom w:val="single" w:color="auto" w:sz="4" w:space="0"/>
              <w:right w:val="single" w:color="auto" w:sz="4" w:space="0"/>
            </w:tcBorders>
            <w:noWrap w:val="0"/>
            <w:vAlign w:val="center"/>
          </w:tcPr>
          <w:p w14:paraId="765618BB">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Cs/>
                <w:color w:val="auto"/>
                <w:sz w:val="24"/>
                <w:szCs w:val="24"/>
                <w:highlight w:val="none"/>
              </w:rPr>
            </w:pPr>
          </w:p>
        </w:tc>
        <w:tc>
          <w:tcPr>
            <w:tcW w:w="2188" w:type="dxa"/>
            <w:gridSpan w:val="2"/>
            <w:tcBorders>
              <w:top w:val="single" w:color="auto" w:sz="4" w:space="0"/>
              <w:left w:val="single" w:color="auto" w:sz="4" w:space="0"/>
              <w:bottom w:val="single" w:color="auto" w:sz="4" w:space="0"/>
              <w:right w:val="single" w:color="auto" w:sz="4" w:space="0"/>
            </w:tcBorders>
            <w:noWrap w:val="0"/>
            <w:vAlign w:val="center"/>
          </w:tcPr>
          <w:p w14:paraId="69CDC610">
            <w:pPr>
              <w:keepNext w:val="0"/>
              <w:keepLines w:val="0"/>
              <w:pageBreakBefore w:val="0"/>
              <w:kinsoku/>
              <w:wordWrap/>
              <w:overflowPunct/>
              <w:topLinePunct w:val="0"/>
              <w:bidi w:val="0"/>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中小型机械设备</w:t>
            </w:r>
          </w:p>
        </w:tc>
        <w:tc>
          <w:tcPr>
            <w:tcW w:w="6065" w:type="dxa"/>
            <w:tcBorders>
              <w:top w:val="single" w:color="auto" w:sz="4" w:space="0"/>
              <w:left w:val="single" w:color="auto" w:sz="4" w:space="0"/>
              <w:bottom w:val="single" w:color="auto" w:sz="4" w:space="0"/>
              <w:right w:val="single" w:color="auto" w:sz="4" w:space="0"/>
            </w:tcBorders>
            <w:noWrap w:val="0"/>
            <w:vAlign w:val="center"/>
          </w:tcPr>
          <w:p w14:paraId="378A6768">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不得使用淘汰型和存在重大隐患设备，进场应组织验收、填写作业、使用记录，特种设备操作人员持证上岗，中小型机械设备进行验收检验,定期检验、安全附件定期校验</w:t>
            </w:r>
          </w:p>
        </w:tc>
      </w:tr>
    </w:tbl>
    <w:p w14:paraId="0E4B98F0">
      <w:pPr>
        <w:keepNext w:val="0"/>
        <w:keepLines w:val="0"/>
        <w:pageBreakBefore w:val="0"/>
        <w:widowControl/>
        <w:kinsoku/>
        <w:wordWrap/>
        <w:overflowPunct/>
        <w:topLinePunct w:val="0"/>
        <w:bidi w:val="0"/>
        <w:spacing w:line="360" w:lineRule="auto"/>
        <w:textAlignment w:val="auto"/>
        <w:rPr>
          <w:rFonts w:hint="eastAsia" w:ascii="宋体" w:hAnsi="宋体"/>
          <w:color w:val="auto"/>
          <w:highlight w:val="none"/>
        </w:rPr>
      </w:pPr>
      <w:r>
        <w:rPr>
          <w:rFonts w:hint="eastAsia" w:ascii="宋体" w:hAnsi="宋体"/>
          <w:color w:val="auto"/>
          <w:highlight w:val="none"/>
        </w:rPr>
        <w:t xml:space="preserve"> </w:t>
      </w:r>
    </w:p>
    <w:p w14:paraId="44636192">
      <w:pPr>
        <w:keepNext w:val="0"/>
        <w:keepLines w:val="0"/>
        <w:pageBreakBefore w:val="0"/>
        <w:widowControl/>
        <w:kinsoku/>
        <w:wordWrap/>
        <w:overflowPunct/>
        <w:topLinePunct w:val="0"/>
        <w:bidi w:val="0"/>
        <w:spacing w:line="360" w:lineRule="auto"/>
        <w:jc w:val="left"/>
        <w:textAlignment w:val="auto"/>
        <w:rPr>
          <w:rFonts w:hint="eastAsia" w:ascii="宋体" w:hAnsi="宋体"/>
          <w:bCs/>
          <w:color w:val="auto"/>
          <w:sz w:val="24"/>
          <w:szCs w:val="24"/>
          <w:highlight w:val="none"/>
        </w:rPr>
      </w:pPr>
      <w:r>
        <w:rPr>
          <w:rFonts w:hint="eastAsia" w:ascii="宋体" w:hAnsi="宋体"/>
          <w:color w:val="auto"/>
          <w:highlight w:val="none"/>
        </w:rPr>
        <w:br w:type="page"/>
      </w:r>
      <w:r>
        <w:rPr>
          <w:rFonts w:hint="eastAsia" w:ascii="宋体" w:hAnsi="宋体"/>
          <w:color w:val="auto"/>
          <w:kern w:val="0"/>
          <w:sz w:val="24"/>
          <w:szCs w:val="24"/>
          <w:highlight w:val="none"/>
        </w:rPr>
        <w:t>附件5 ：</w:t>
      </w:r>
      <w:r>
        <w:rPr>
          <w:rFonts w:hint="eastAsia" w:ascii="宋体" w:hAnsi="宋体"/>
          <w:bCs/>
          <w:color w:val="auto"/>
          <w:sz w:val="24"/>
          <w:szCs w:val="24"/>
          <w:highlight w:val="none"/>
        </w:rPr>
        <w:t xml:space="preserve">       </w:t>
      </w:r>
    </w:p>
    <w:p w14:paraId="5B3938AF">
      <w:pPr>
        <w:keepNext w:val="0"/>
        <w:keepLines w:val="0"/>
        <w:pageBreakBefore w:val="0"/>
        <w:kinsoku/>
        <w:wordWrap/>
        <w:overflowPunct/>
        <w:topLinePunct w:val="0"/>
        <w:bidi w:val="0"/>
        <w:spacing w:after="312" w:afterLines="100" w:line="360" w:lineRule="auto"/>
        <w:jc w:val="center"/>
        <w:textAlignment w:val="auto"/>
        <w:rPr>
          <w:rFonts w:hint="eastAsia" w:ascii="宋体" w:hAnsi="宋体"/>
          <w:b/>
          <w:bCs/>
          <w:color w:val="auto"/>
          <w:sz w:val="24"/>
          <w:szCs w:val="24"/>
          <w:highlight w:val="none"/>
        </w:rPr>
      </w:pPr>
      <w:r>
        <w:rPr>
          <w:rFonts w:hint="eastAsia" w:ascii="宋体" w:hAnsi="宋体"/>
          <w:b/>
          <w:bCs/>
          <w:color w:val="auto"/>
          <w:sz w:val="24"/>
          <w:szCs w:val="24"/>
          <w:highlight w:val="none"/>
        </w:rPr>
        <w:t>农民工工资按时发放承诺书</w:t>
      </w:r>
    </w:p>
    <w:p w14:paraId="4241AC5F">
      <w:pPr>
        <w:keepNext w:val="0"/>
        <w:keepLines w:val="0"/>
        <w:pageBreakBefore w:val="0"/>
        <w:kinsoku/>
        <w:wordWrap/>
        <w:overflowPunct/>
        <w:topLinePunct w:val="0"/>
        <w:bidi w:val="0"/>
        <w:spacing w:line="360" w:lineRule="auto"/>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致：</w:t>
      </w:r>
      <w:r>
        <w:rPr>
          <w:rFonts w:hint="eastAsia" w:ascii="宋体" w:hAnsi="宋体"/>
          <w:color w:val="auto"/>
          <w:kern w:val="0"/>
          <w:sz w:val="24"/>
          <w:szCs w:val="24"/>
          <w:highlight w:val="none"/>
          <w:u w:val="single"/>
        </w:rPr>
        <w:t xml:space="preserve"> </w:t>
      </w:r>
      <w:r>
        <w:rPr>
          <w:rFonts w:hint="eastAsia" w:ascii="宋体" w:hAnsi="宋体"/>
          <w:color w:val="auto"/>
          <w:kern w:val="0"/>
          <w:sz w:val="24"/>
          <w:szCs w:val="24"/>
          <w:highlight w:val="none"/>
          <w:u w:val="single"/>
          <w:lang w:eastAsia="zh-CN"/>
        </w:rPr>
        <w:t>陕西省中医医院</w:t>
      </w:r>
      <w:r>
        <w:rPr>
          <w:rFonts w:hint="eastAsia" w:ascii="宋体" w:hAnsi="宋体"/>
          <w:color w:val="auto"/>
          <w:kern w:val="0"/>
          <w:sz w:val="24"/>
          <w:szCs w:val="24"/>
          <w:highlight w:val="none"/>
          <w:u w:val="single"/>
        </w:rPr>
        <w:t xml:space="preserve"> </w:t>
      </w:r>
    </w:p>
    <w:p w14:paraId="48B4C425">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我公司为保证农民工工资按时发放，避免拖欠或克扣农民工资的现象发生，向贵单位郑重承诺如下：</w:t>
      </w:r>
    </w:p>
    <w:p w14:paraId="58D0DEB5">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我们公司已充分认识到农民工资发放的重要性，中标后在组建项目领导班子的同时组建以现场施工负责人为组长的农民工及相关问题专项解决工作组（联系人:</w:t>
      </w:r>
      <w:r>
        <w:rPr>
          <w:rFonts w:hint="eastAsia" w:ascii="宋体" w:hAnsi="宋体"/>
          <w:color w:val="auto"/>
          <w:kern w:val="0"/>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hint="eastAsia" w:ascii="宋体" w:hAnsi="宋体"/>
          <w:color w:val="auto"/>
          <w:kern w:val="0"/>
          <w:sz w:val="24"/>
          <w:szCs w:val="24"/>
          <w:highlight w:val="none"/>
        </w:rPr>
        <w:t>电话：</w:t>
      </w:r>
      <w:r>
        <w:rPr>
          <w:rFonts w:hint="eastAsia" w:ascii="宋体" w:hAnsi="宋体"/>
          <w:color w:val="auto"/>
          <w:spacing w:val="4"/>
          <w:sz w:val="24"/>
          <w:szCs w:val="24"/>
          <w:highlight w:val="none"/>
          <w:u w:val="single"/>
        </w:rPr>
        <w:t xml:space="preserve">        </w:t>
      </w:r>
      <w:r>
        <w:rPr>
          <w:rFonts w:hint="eastAsia" w:ascii="宋体" w:hAnsi="宋体"/>
          <w:color w:val="auto"/>
          <w:kern w:val="0"/>
          <w:sz w:val="24"/>
          <w:szCs w:val="24"/>
          <w:highlight w:val="none"/>
        </w:rPr>
        <w:t>），该工作组为常设机构，随时负责解决与农民工有关的所有事宜。</w:t>
      </w:r>
    </w:p>
    <w:p w14:paraId="12847367">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我们获得工程款后，优先支付农民工资，并将工资直接发放给农民工本人。</w:t>
      </w:r>
    </w:p>
    <w:p w14:paraId="0CA5FEE5">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在支付农民工资时，编制工资支付表，如实记录工资支付情况，并将有关记录保存备查。</w:t>
      </w:r>
    </w:p>
    <w:p w14:paraId="42A2CB74">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我们保证绝不违反规定将工程分包给不具备用工主体资格的组织或个人，否则，贵单位有权要求其退场；并接受贵单位每次10000元的经济处罚。</w:t>
      </w:r>
    </w:p>
    <w:p w14:paraId="4BB1D4DF">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我们保证对劳务分包企业的工资支付情况及有关事宜，进行全方位监督，确保农民工及时足额领到工资。</w:t>
      </w:r>
    </w:p>
    <w:p w14:paraId="60CA20C8">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我公司为避免出现拖欠或克扣农民工工资等现象，建立了农民工资储备金应急机制，防止出现因拖欠农民工工资而引发群体性上访事件。</w:t>
      </w:r>
    </w:p>
    <w:p w14:paraId="58542DCC">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我公司在支付农民工资时，随时接受贵单位及贵单位委托的监理公司的监督检查，并对提出的质疑做合理解释。</w:t>
      </w:r>
    </w:p>
    <w:p w14:paraId="09F2B9BF">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若由于我司未处理好农民工资及与农民工有关的所有事宜而产生纠纷（如投诉、打架、滋事等事件），由此给贵单位造成恶劣影响或干扰贵中心正常工作，我公司愿接受每次人民币30000元的违约处罚所发生费用从支付我公司工程款中扣减。</w:t>
      </w:r>
    </w:p>
    <w:p w14:paraId="2FCCB974">
      <w:pPr>
        <w:keepNext w:val="0"/>
        <w:keepLines w:val="0"/>
        <w:pageBreakBefore w:val="0"/>
        <w:kinsoku/>
        <w:wordWrap/>
        <w:overflowPunct/>
        <w:topLinePunct w:val="0"/>
        <w:bidi w:val="0"/>
        <w:spacing w:line="360" w:lineRule="auto"/>
        <w:ind w:firstLine="482"/>
        <w:textAlignment w:val="auto"/>
        <w:rPr>
          <w:rFonts w:hint="eastAsia" w:ascii="宋体" w:hAnsi="宋体"/>
          <w:color w:val="auto"/>
          <w:sz w:val="24"/>
          <w:szCs w:val="24"/>
          <w:highlight w:val="none"/>
        </w:rPr>
      </w:pPr>
      <w:r>
        <w:rPr>
          <w:rFonts w:hint="eastAsia" w:ascii="宋体" w:hAnsi="宋体"/>
          <w:color w:val="auto"/>
          <w:kern w:val="0"/>
          <w:sz w:val="24"/>
          <w:szCs w:val="24"/>
          <w:highlight w:val="none"/>
        </w:rPr>
        <w:t>特此承诺</w:t>
      </w:r>
    </w:p>
    <w:p w14:paraId="60C33C2D">
      <w:pPr>
        <w:keepNext w:val="0"/>
        <w:keepLines w:val="0"/>
        <w:pageBreakBefore w:val="0"/>
        <w:kinsoku/>
        <w:wordWrap/>
        <w:overflowPunct/>
        <w:topLinePunct w:val="0"/>
        <w:bidi w:val="0"/>
        <w:spacing w:line="360" w:lineRule="auto"/>
        <w:ind w:firstLine="482"/>
        <w:textAlignment w:val="auto"/>
        <w:rPr>
          <w:rFonts w:hint="eastAsia" w:ascii="宋体" w:hAnsi="宋体"/>
          <w:color w:val="auto"/>
          <w:sz w:val="24"/>
          <w:szCs w:val="24"/>
          <w:highlight w:val="none"/>
        </w:rPr>
      </w:pPr>
      <w:r>
        <w:rPr>
          <w:rFonts w:hint="eastAsia" w:ascii="宋体" w:hAnsi="宋体"/>
          <w:color w:val="auto"/>
          <w:sz w:val="24"/>
          <w:szCs w:val="24"/>
          <w:highlight w:val="none"/>
        </w:rPr>
        <w:t xml:space="preserve">承包单位：                      （盖章） </w:t>
      </w:r>
    </w:p>
    <w:p w14:paraId="0D0EB732">
      <w:pPr>
        <w:keepNext w:val="0"/>
        <w:keepLines w:val="0"/>
        <w:pageBreakBefore w:val="0"/>
        <w:kinsoku/>
        <w:wordWrap/>
        <w:overflowPunct/>
        <w:topLinePunct w:val="0"/>
        <w:bidi w:val="0"/>
        <w:spacing w:line="360" w:lineRule="auto"/>
        <w:ind w:firstLine="482"/>
        <w:textAlignment w:val="auto"/>
        <w:rPr>
          <w:rFonts w:hint="eastAsia" w:ascii="宋体" w:hAnsi="宋体"/>
          <w:bCs/>
          <w:color w:val="auto"/>
          <w:sz w:val="24"/>
          <w:szCs w:val="24"/>
          <w:highlight w:val="none"/>
        </w:rPr>
      </w:pPr>
      <w:r>
        <w:rPr>
          <w:rFonts w:hint="eastAsia" w:ascii="宋体" w:hAnsi="宋体"/>
          <w:color w:val="auto"/>
          <w:sz w:val="24"/>
          <w:szCs w:val="24"/>
          <w:highlight w:val="none"/>
        </w:rPr>
        <w:t>法定代表人或法定委托人：                            年    月    日</w:t>
      </w:r>
      <w:r>
        <w:rPr>
          <w:rFonts w:hint="eastAsia" w:ascii="宋体" w:hAnsi="宋体"/>
          <w:color w:val="auto"/>
          <w:sz w:val="24"/>
          <w:szCs w:val="24"/>
          <w:highlight w:val="none"/>
        </w:rPr>
        <w:br w:type="page"/>
      </w:r>
      <w:r>
        <w:rPr>
          <w:rFonts w:hint="eastAsia" w:ascii="宋体" w:hAnsi="宋体"/>
          <w:color w:val="auto"/>
          <w:kern w:val="0"/>
          <w:sz w:val="24"/>
          <w:szCs w:val="24"/>
          <w:highlight w:val="none"/>
        </w:rPr>
        <w:t>附件6 ：</w:t>
      </w:r>
      <w:r>
        <w:rPr>
          <w:rFonts w:hint="eastAsia" w:ascii="宋体" w:hAnsi="宋体"/>
          <w:bCs/>
          <w:color w:val="auto"/>
          <w:sz w:val="24"/>
          <w:szCs w:val="24"/>
          <w:highlight w:val="none"/>
        </w:rPr>
        <w:t xml:space="preserve">       </w:t>
      </w:r>
    </w:p>
    <w:p w14:paraId="5520FE2C">
      <w:pPr>
        <w:keepNext w:val="0"/>
        <w:keepLines w:val="0"/>
        <w:pageBreakBefore w:val="0"/>
        <w:kinsoku/>
        <w:wordWrap/>
        <w:overflowPunct/>
        <w:topLinePunct w:val="0"/>
        <w:bidi w:val="0"/>
        <w:spacing w:line="360" w:lineRule="auto"/>
        <w:textAlignment w:val="auto"/>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20EE8D72">
      <w:pPr>
        <w:keepNext w:val="0"/>
        <w:keepLines w:val="0"/>
        <w:pageBreakBefore w:val="0"/>
        <w:kinsoku/>
        <w:wordWrap/>
        <w:overflowPunct/>
        <w:topLinePunct w:val="0"/>
        <w:bidi w:val="0"/>
        <w:spacing w:after="312" w:afterLines="100" w:line="360" w:lineRule="auto"/>
        <w:jc w:val="center"/>
        <w:textAlignment w:val="auto"/>
        <w:rPr>
          <w:rFonts w:hint="eastAsia" w:ascii="宋体" w:hAnsi="宋体"/>
          <w:b/>
          <w:bCs/>
          <w:color w:val="auto"/>
          <w:sz w:val="24"/>
          <w:szCs w:val="24"/>
          <w:highlight w:val="none"/>
        </w:rPr>
      </w:pPr>
      <w:r>
        <w:rPr>
          <w:rFonts w:hint="eastAsia" w:ascii="宋体" w:hAnsi="宋体"/>
          <w:b/>
          <w:bCs/>
          <w:color w:val="auto"/>
          <w:sz w:val="24"/>
          <w:szCs w:val="24"/>
          <w:highlight w:val="none"/>
        </w:rPr>
        <w:t>现场施工环境综合整治及扬尘污染治理承诺书</w:t>
      </w:r>
    </w:p>
    <w:p w14:paraId="4A8E0622">
      <w:pPr>
        <w:keepNext w:val="0"/>
        <w:keepLines w:val="0"/>
        <w:pageBreakBefore w:val="0"/>
        <w:kinsoku/>
        <w:wordWrap/>
        <w:overflowPunct/>
        <w:topLinePunct w:val="0"/>
        <w:bidi w:val="0"/>
        <w:spacing w:line="360" w:lineRule="auto"/>
        <w:textAlignment w:val="auto"/>
        <w:rPr>
          <w:rFonts w:hint="eastAsia" w:ascii="宋体" w:hAnsi="宋体"/>
          <w:color w:val="auto"/>
          <w:kern w:val="0"/>
          <w:sz w:val="24"/>
          <w:szCs w:val="24"/>
          <w:highlight w:val="none"/>
          <w:u w:val="single"/>
        </w:rPr>
      </w:pPr>
      <w:r>
        <w:rPr>
          <w:rFonts w:hint="eastAsia" w:ascii="宋体" w:hAnsi="宋体"/>
          <w:color w:val="auto"/>
          <w:kern w:val="0"/>
          <w:sz w:val="24"/>
          <w:szCs w:val="24"/>
          <w:highlight w:val="none"/>
        </w:rPr>
        <w:t>致：</w:t>
      </w:r>
      <w:r>
        <w:rPr>
          <w:rFonts w:hint="eastAsia" w:ascii="宋体" w:hAnsi="宋体"/>
          <w:color w:val="auto"/>
          <w:spacing w:val="4"/>
          <w:sz w:val="24"/>
          <w:szCs w:val="24"/>
          <w:highlight w:val="none"/>
          <w:u w:val="single"/>
        </w:rPr>
        <w:t xml:space="preserve"> </w:t>
      </w:r>
      <w:r>
        <w:rPr>
          <w:rFonts w:hint="eastAsia" w:ascii="宋体" w:hAnsi="宋体"/>
          <w:color w:val="auto"/>
          <w:kern w:val="0"/>
          <w:sz w:val="24"/>
          <w:szCs w:val="24"/>
          <w:highlight w:val="none"/>
          <w:u w:val="single"/>
          <w:lang w:eastAsia="zh-CN"/>
        </w:rPr>
        <w:t>陕西省中医医院</w:t>
      </w:r>
      <w:r>
        <w:rPr>
          <w:rFonts w:hint="eastAsia" w:ascii="宋体" w:hAnsi="宋体"/>
          <w:color w:val="auto"/>
          <w:kern w:val="0"/>
          <w:sz w:val="24"/>
          <w:szCs w:val="24"/>
          <w:highlight w:val="none"/>
          <w:u w:val="single"/>
        </w:rPr>
        <w:t xml:space="preserve"> </w:t>
      </w:r>
    </w:p>
    <w:p w14:paraId="4C637F17">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我公司对本项目就施工现场环境卫生综合整治及扬尘污染治理工作郑重做出以下承诺：</w:t>
      </w:r>
    </w:p>
    <w:p w14:paraId="3D52073C">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我公司自进场施工之日起，将在施工现场积极开展以“整顿、整理、清扫、清洁和素养”为主题的“5S”活动；积极行动，组织有关人员对施工场地、通行道路及责任区的环境卫生、扬尘污染进行综合整治，完善和加强各项清洁、保洁及扬尘污染治理措施，落实责任人，建立相关管理制度。</w:t>
      </w:r>
    </w:p>
    <w:p w14:paraId="0910FE76">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对施工场地的大门、临时围墙等进行清洁、加固并采取相应的美化措施，做到整洁美观。按照建筑工地门前及责任区“三保”的要求，清扫和保持工地现场、道路及责任区卫生。硬化工地出入口道路，建立并完善车辆冲洗设施。</w:t>
      </w:r>
    </w:p>
    <w:p w14:paraId="47DEC681">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全面及时清理工地内的建筑垃圾和废弃物；合理、整齐的摆放各类建筑材料和设备；确保排水系统通畅，杜绝场内积水和废水横流的现象发生。</w:t>
      </w:r>
    </w:p>
    <w:p w14:paraId="5BA6E5E6">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加强各类车辆管理，车辆驶出工地及责任区前对车轮、车厢侧帮进行清扫冲洗除尘，严密封闭拉运渣土的车辆，各类运输车辆场内行驶速度不得超过每小时20公里。</w:t>
      </w:r>
    </w:p>
    <w:p w14:paraId="10A3A763">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对产生扬尘污染的渣土、煤堆、沙堆、灰土、粉煤灰等易飞颗粒物料，我们将用高效防尘网进行覆盖并安排专人看管，严格控制施工过程中土、灰等的飞扬。</w:t>
      </w:r>
    </w:p>
    <w:p w14:paraId="368467F3">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对行车行人道路、施工现场及责任区等进行定时清扫、洒水，清除地面浮土避免二次扬尘。</w:t>
      </w:r>
    </w:p>
    <w:p w14:paraId="67421112">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我们将对施工现场环境整治和扬尘污染治理工作常抓不懈：自觉接受贵方及贵方委托的监理单位的检查管理，对查出的问题及时进行整改。经贵方及监理单位指正未及时进行有效整改，我们愿意每次支付200—1000元的违约金，并按贵方要求承担其他违约责任。</w:t>
      </w:r>
    </w:p>
    <w:p w14:paraId="3B8AD208">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在施工过程中我们若被质监站、规划局、防扬尘污染联合检查办公室等单位点名批评、通报或评比位于倒数三名之内时，除接受相关部门的处理外，愿意每次支付2000—5000的违约金，并按贵方要求承担其他违约责任。</w:t>
      </w:r>
    </w:p>
    <w:p w14:paraId="522C1501">
      <w:pPr>
        <w:keepNext w:val="0"/>
        <w:keepLines w:val="0"/>
        <w:pageBreakBefore w:val="0"/>
        <w:kinsoku/>
        <w:wordWrap/>
        <w:overflowPunct/>
        <w:topLinePunct w:val="0"/>
        <w:bidi w:val="0"/>
        <w:spacing w:line="360" w:lineRule="auto"/>
        <w:ind w:firstLine="482"/>
        <w:textAlignment w:val="auto"/>
        <w:rPr>
          <w:rFonts w:hint="eastAsia" w:ascii="宋体" w:hAnsi="宋体"/>
          <w:color w:val="auto"/>
          <w:kern w:val="0"/>
          <w:sz w:val="24"/>
          <w:szCs w:val="24"/>
          <w:highlight w:val="none"/>
        </w:rPr>
      </w:pPr>
      <w:r>
        <w:rPr>
          <w:rFonts w:hint="eastAsia" w:ascii="宋体" w:hAnsi="宋体"/>
          <w:color w:val="auto"/>
          <w:kern w:val="0"/>
          <w:sz w:val="24"/>
          <w:szCs w:val="24"/>
          <w:highlight w:val="none"/>
        </w:rPr>
        <w:t>特此承诺</w:t>
      </w:r>
    </w:p>
    <w:p w14:paraId="2A6EC764">
      <w:pPr>
        <w:keepNext w:val="0"/>
        <w:keepLines w:val="0"/>
        <w:pageBreakBefore w:val="0"/>
        <w:kinsoku/>
        <w:wordWrap/>
        <w:overflowPunct/>
        <w:topLinePunct w:val="0"/>
        <w:bidi w:val="0"/>
        <w:spacing w:line="360" w:lineRule="auto"/>
        <w:ind w:firstLine="482"/>
        <w:textAlignment w:val="auto"/>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554F893E">
      <w:pPr>
        <w:keepNext w:val="0"/>
        <w:keepLines w:val="0"/>
        <w:pageBreakBefore w:val="0"/>
        <w:kinsoku/>
        <w:wordWrap/>
        <w:overflowPunct/>
        <w:topLinePunct w:val="0"/>
        <w:bidi w:val="0"/>
        <w:spacing w:line="360" w:lineRule="auto"/>
        <w:textAlignment w:val="auto"/>
        <w:rPr>
          <w:rFonts w:hint="eastAsia" w:ascii="宋体" w:hAnsi="宋体"/>
          <w:color w:val="auto"/>
          <w:sz w:val="24"/>
          <w:szCs w:val="24"/>
          <w:highlight w:val="none"/>
        </w:rPr>
      </w:pPr>
      <w:r>
        <w:rPr>
          <w:rFonts w:hint="eastAsia" w:ascii="宋体" w:hAnsi="宋体"/>
          <w:color w:val="auto"/>
          <w:sz w:val="24"/>
          <w:szCs w:val="24"/>
          <w:highlight w:val="none"/>
        </w:rPr>
        <w:t xml:space="preserve">承包单位：                      （盖章） </w:t>
      </w:r>
    </w:p>
    <w:p w14:paraId="514E6465">
      <w:pPr>
        <w:keepNext w:val="0"/>
        <w:keepLines w:val="0"/>
        <w:pageBreakBefore w:val="0"/>
        <w:kinsoku/>
        <w:wordWrap/>
        <w:overflowPunct/>
        <w:topLinePunct w:val="0"/>
        <w:bidi w:val="0"/>
        <w:spacing w:line="360" w:lineRule="auto"/>
        <w:ind w:firstLine="482"/>
        <w:textAlignment w:val="auto"/>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4EF4AE10">
      <w:pPr>
        <w:keepNext w:val="0"/>
        <w:keepLines w:val="0"/>
        <w:pageBreakBefore w:val="0"/>
        <w:widowControl/>
        <w:kinsoku/>
        <w:wordWrap/>
        <w:overflowPunct/>
        <w:topLinePunct w:val="0"/>
        <w:bidi w:val="0"/>
        <w:spacing w:line="360" w:lineRule="auto"/>
        <w:jc w:val="left"/>
        <w:textAlignment w:val="auto"/>
        <w:rPr>
          <w:rFonts w:hint="eastAsia" w:ascii="宋体" w:hAnsi="宋体"/>
          <w:color w:val="auto"/>
          <w:sz w:val="24"/>
          <w:szCs w:val="24"/>
          <w:highlight w:val="none"/>
        </w:rPr>
      </w:pPr>
      <w:r>
        <w:rPr>
          <w:rFonts w:hint="eastAsia" w:ascii="宋体" w:hAnsi="宋体"/>
          <w:color w:val="auto"/>
          <w:sz w:val="24"/>
          <w:szCs w:val="24"/>
          <w:highlight w:val="none"/>
        </w:rPr>
        <w:t>法定代表人或法定委托人：                            年    月    日</w:t>
      </w:r>
      <w:r>
        <w:rPr>
          <w:rFonts w:hint="eastAsia" w:ascii="宋体" w:hAnsi="宋体"/>
          <w:color w:val="auto"/>
          <w:sz w:val="24"/>
          <w:szCs w:val="24"/>
          <w:highlight w:val="none"/>
        </w:rPr>
        <w:br w:type="page"/>
      </w:r>
      <w:r>
        <w:rPr>
          <w:rFonts w:hint="eastAsia" w:ascii="宋体" w:hAnsi="宋体"/>
          <w:color w:val="auto"/>
          <w:sz w:val="24"/>
          <w:szCs w:val="24"/>
          <w:highlight w:val="none"/>
        </w:rPr>
        <w:t>附件7 ：</w:t>
      </w:r>
    </w:p>
    <w:p w14:paraId="0FC15B2A">
      <w:pPr>
        <w:keepNext w:val="0"/>
        <w:keepLines w:val="0"/>
        <w:pageBreakBefore w:val="0"/>
        <w:widowControl w:val="0"/>
        <w:suppressLineNumbers w:val="0"/>
        <w:kinsoku/>
        <w:wordWrap/>
        <w:overflowPunct/>
        <w:topLinePunct w:val="0"/>
        <w:autoSpaceDE w:val="0"/>
        <w:autoSpaceDN w:val="0"/>
        <w:bidi w:val="0"/>
        <w:spacing w:before="0" w:beforeAutospacing="0" w:after="0" w:afterAutospacing="0" w:line="360" w:lineRule="auto"/>
        <w:ind w:left="100" w:right="0"/>
        <w:jc w:val="center"/>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w w:val="95"/>
          <w:kern w:val="0"/>
          <w:sz w:val="24"/>
          <w:szCs w:val="24"/>
          <w:highlight w:val="none"/>
          <w:lang w:val="en-US" w:eastAsia="zh-CN" w:bidi="ar"/>
        </w:rPr>
        <w:t>工程质量保修书</w:t>
      </w:r>
    </w:p>
    <w:p w14:paraId="508575BA">
      <w:pPr>
        <w:pStyle w:val="4"/>
        <w:keepNext w:val="0"/>
        <w:keepLines w:val="0"/>
        <w:pageBreakBefore w:val="0"/>
        <w:widowControl/>
        <w:kinsoku/>
        <w:wordWrap/>
        <w:overflowPunct/>
        <w:topLinePunct w:val="0"/>
        <w:bidi w:val="0"/>
        <w:spacing w:line="360" w:lineRule="auto"/>
        <w:textAlignment w:val="auto"/>
        <w:rPr>
          <w:rFonts w:hint="eastAsia" w:ascii="宋体" w:hAnsi="宋体" w:eastAsia="宋体" w:cs="宋体"/>
          <w:b/>
          <w:bCs w:val="0"/>
          <w:color w:val="auto"/>
          <w:sz w:val="24"/>
          <w:szCs w:val="24"/>
          <w:highlight w:val="none"/>
          <w:lang w:val="en-US" w:eastAsia="zh-CN"/>
        </w:rPr>
      </w:pPr>
    </w:p>
    <w:p w14:paraId="5929F930">
      <w:pPr>
        <w:pStyle w:val="4"/>
        <w:keepNext w:val="0"/>
        <w:keepLines w:val="0"/>
        <w:pageBreakBefore w:val="0"/>
        <w:widowControl/>
        <w:kinsoku/>
        <w:wordWrap/>
        <w:overflowPunct/>
        <w:topLinePunct w:val="0"/>
        <w:bidi w:val="0"/>
        <w:spacing w:before="26" w:beforeAutospacing="0" w:after="0" w:afterAutospacing="0" w:line="360" w:lineRule="auto"/>
        <w:ind w:left="580" w:right="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发包人：</w:t>
      </w:r>
      <w:r>
        <w:rPr>
          <w:rFonts w:hint="eastAsia" w:cs="宋体"/>
          <w:color w:val="auto"/>
          <w:kern w:val="0"/>
          <w:sz w:val="24"/>
          <w:szCs w:val="24"/>
          <w:highlight w:val="none"/>
          <w:u w:val="single"/>
          <w:lang w:eastAsia="zh-CN"/>
        </w:rPr>
        <w:t>陕西省中医医院</w:t>
      </w:r>
    </w:p>
    <w:p w14:paraId="3B9AC44B">
      <w:pPr>
        <w:pStyle w:val="4"/>
        <w:keepNext w:val="0"/>
        <w:keepLines w:val="0"/>
        <w:pageBreakBefore w:val="0"/>
        <w:widowControl/>
        <w:kinsoku/>
        <w:wordWrap/>
        <w:overflowPunct/>
        <w:topLinePunct w:val="0"/>
        <w:bidi w:val="0"/>
        <w:spacing w:before="5" w:beforeAutospacing="0" w:line="360" w:lineRule="auto"/>
        <w:textAlignment w:val="auto"/>
        <w:rPr>
          <w:rFonts w:hint="eastAsia" w:ascii="宋体" w:hAnsi="宋体" w:eastAsia="宋体" w:cs="宋体"/>
          <w:color w:val="auto"/>
          <w:sz w:val="24"/>
          <w:szCs w:val="24"/>
          <w:highlight w:val="none"/>
          <w:lang w:val="en-US" w:eastAsia="zh-CN"/>
        </w:rPr>
      </w:pPr>
    </w:p>
    <w:p w14:paraId="7BE8F2AD">
      <w:pPr>
        <w:pStyle w:val="4"/>
        <w:keepNext w:val="0"/>
        <w:keepLines w:val="0"/>
        <w:pageBreakBefore w:val="0"/>
        <w:widowControl/>
        <w:tabs>
          <w:tab w:val="left" w:pos="4599"/>
        </w:tabs>
        <w:kinsoku/>
        <w:wordWrap/>
        <w:overflowPunct/>
        <w:topLinePunct w:val="0"/>
        <w:bidi w:val="0"/>
        <w:spacing w:before="34" w:beforeAutospacing="0" w:after="0" w:afterAutospacing="0" w:line="360" w:lineRule="auto"/>
        <w:ind w:left="580" w:right="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承包人：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 xml:space="preserve"> </w:t>
      </w:r>
    </w:p>
    <w:p w14:paraId="4A91D3FD">
      <w:pPr>
        <w:pStyle w:val="4"/>
        <w:keepNext w:val="0"/>
        <w:keepLines w:val="0"/>
        <w:pageBreakBefore w:val="0"/>
        <w:widowControl/>
        <w:kinsoku/>
        <w:wordWrap/>
        <w:overflowPunct/>
        <w:topLinePunct w:val="0"/>
        <w:bidi w:val="0"/>
        <w:spacing w:before="5" w:beforeAutospacing="0" w:line="360" w:lineRule="auto"/>
        <w:textAlignment w:val="auto"/>
        <w:rPr>
          <w:rFonts w:hint="eastAsia" w:ascii="宋体" w:hAnsi="宋体" w:eastAsia="宋体" w:cs="宋体"/>
          <w:color w:val="auto"/>
          <w:sz w:val="24"/>
          <w:szCs w:val="24"/>
          <w:highlight w:val="none"/>
          <w:lang w:val="en-US" w:eastAsia="zh-CN"/>
        </w:rPr>
      </w:pPr>
    </w:p>
    <w:p w14:paraId="6FDFE3D5">
      <w:pPr>
        <w:pStyle w:val="4"/>
        <w:keepNext w:val="0"/>
        <w:keepLines w:val="0"/>
        <w:pageBreakBefore w:val="0"/>
        <w:widowControl/>
        <w:kinsoku/>
        <w:wordWrap/>
        <w:overflowPunct/>
        <w:topLinePunct w:val="0"/>
        <w:bidi w:val="0"/>
        <w:spacing w:before="27" w:beforeAutospacing="0" w:after="0" w:afterAutospacing="0" w:line="360" w:lineRule="auto"/>
        <w:ind w:left="100" w:right="220" w:firstLine="480"/>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spacing w:val="-10"/>
          <w:sz w:val="24"/>
          <w:szCs w:val="24"/>
          <w:highlight w:val="none"/>
          <w:lang w:eastAsia="zh-CN"/>
        </w:rPr>
        <w:t xml:space="preserve">发包人、承包人根据《中华人民共和国建筑法》、《建设工程质量管理条例》， </w:t>
      </w:r>
      <w:r>
        <w:rPr>
          <w:rFonts w:hint="eastAsia" w:ascii="宋体" w:hAnsi="宋体" w:eastAsia="宋体" w:cs="宋体"/>
          <w:color w:val="auto"/>
          <w:spacing w:val="-1"/>
          <w:sz w:val="24"/>
          <w:szCs w:val="24"/>
          <w:highlight w:val="none"/>
          <w:lang w:eastAsia="zh-CN"/>
        </w:rPr>
        <w:t>经协商一致，对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bidi="ar"/>
        </w:rPr>
        <w:t>签订工程质量保修书。</w:t>
      </w:r>
      <w:bookmarkStart w:id="5" w:name="一、工程质量保修范围和内容"/>
      <w:bookmarkEnd w:id="5"/>
    </w:p>
    <w:p w14:paraId="072466D1">
      <w:pPr>
        <w:pStyle w:val="4"/>
        <w:keepNext w:val="0"/>
        <w:keepLines w:val="0"/>
        <w:pageBreakBefore w:val="0"/>
        <w:widowControl/>
        <w:kinsoku/>
        <w:wordWrap/>
        <w:overflowPunct/>
        <w:topLinePunct w:val="0"/>
        <w:bidi w:val="0"/>
        <w:spacing w:before="27" w:beforeAutospacing="0" w:after="0" w:afterAutospacing="0" w:line="360" w:lineRule="auto"/>
        <w:ind w:left="100" w:right="220" w:firstLine="480"/>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w w:val="95"/>
          <w:kern w:val="0"/>
          <w:sz w:val="24"/>
          <w:szCs w:val="24"/>
          <w:highlight w:val="none"/>
          <w:lang w:val="en-US" w:eastAsia="zh-CN" w:bidi="ar"/>
        </w:rPr>
        <w:t>一、工程质量保修范围和内容</w:t>
      </w:r>
    </w:p>
    <w:p w14:paraId="41AC3CC7">
      <w:pPr>
        <w:pStyle w:val="4"/>
        <w:keepNext w:val="0"/>
        <w:keepLines w:val="0"/>
        <w:pageBreakBefore w:val="0"/>
        <w:widowControl/>
        <w:kinsoku/>
        <w:wordWrap/>
        <w:overflowPunct/>
        <w:topLinePunct w:val="0"/>
        <w:bidi w:val="0"/>
        <w:spacing w:before="62" w:beforeAutospacing="0" w:after="0" w:afterAutospacing="0" w:line="360" w:lineRule="auto"/>
        <w:ind w:left="100" w:right="239" w:firstLine="48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承包人在质量保修期内，按照有关法律、法规、规章规定和双方约定，承担本工程质量保修责任。质量保修范围包括：施工图范围内的道路、给排水管道、管沟等由承包人承建的项目。</w:t>
      </w:r>
    </w:p>
    <w:p w14:paraId="63DD225B">
      <w:pPr>
        <w:keepNext w:val="0"/>
        <w:keepLines w:val="0"/>
        <w:pageBreakBefore w:val="0"/>
        <w:widowControl w:val="0"/>
        <w:suppressLineNumbers w:val="0"/>
        <w:kinsoku/>
        <w:wordWrap/>
        <w:overflowPunct/>
        <w:topLinePunct w:val="0"/>
        <w:autoSpaceDE w:val="0"/>
        <w:autoSpaceDN w:val="0"/>
        <w:bidi w:val="0"/>
        <w:spacing w:before="62" w:beforeAutospacing="0" w:after="0" w:afterAutospacing="0" w:line="360" w:lineRule="auto"/>
        <w:ind w:left="570" w:right="0"/>
        <w:jc w:val="left"/>
        <w:textAlignment w:val="auto"/>
        <w:rPr>
          <w:rFonts w:hint="eastAsia" w:ascii="宋体" w:hAnsi="宋体" w:eastAsia="宋体" w:cs="宋体"/>
          <w:b/>
          <w:bCs w:val="0"/>
          <w:color w:val="auto"/>
          <w:sz w:val="24"/>
          <w:szCs w:val="24"/>
          <w:highlight w:val="none"/>
          <w:lang w:val="en-US" w:eastAsia="zh-CN"/>
        </w:rPr>
      </w:pPr>
      <w:bookmarkStart w:id="6" w:name="二、质量保修期"/>
      <w:bookmarkEnd w:id="6"/>
      <w:r>
        <w:rPr>
          <w:rFonts w:hint="eastAsia" w:ascii="宋体" w:hAnsi="宋体" w:eastAsia="宋体" w:cs="宋体"/>
          <w:b/>
          <w:bCs w:val="0"/>
          <w:color w:val="auto"/>
          <w:w w:val="95"/>
          <w:kern w:val="0"/>
          <w:sz w:val="24"/>
          <w:szCs w:val="24"/>
          <w:highlight w:val="none"/>
          <w:lang w:val="en-US" w:eastAsia="zh-CN" w:bidi="ar"/>
        </w:rPr>
        <w:t>二、质量保修期</w:t>
      </w:r>
    </w:p>
    <w:p w14:paraId="742CDEA8">
      <w:pPr>
        <w:pStyle w:val="4"/>
        <w:keepNext w:val="0"/>
        <w:keepLines w:val="0"/>
        <w:pageBreakBefore w:val="0"/>
        <w:widowControl/>
        <w:kinsoku/>
        <w:wordWrap/>
        <w:overflowPunct/>
        <w:topLinePunct w:val="0"/>
        <w:bidi w:val="0"/>
        <w:spacing w:before="62" w:beforeAutospacing="0" w:after="0" w:afterAutospacing="0" w:line="360" w:lineRule="auto"/>
        <w:ind w:left="100" w:right="239" w:firstLine="48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双方根据《城市道路管理条例》及有关规定，约定本工程的保修期如下：</w:t>
      </w:r>
    </w:p>
    <w:p w14:paraId="35430DD5">
      <w:pPr>
        <w:pStyle w:val="4"/>
        <w:keepNext w:val="0"/>
        <w:keepLines w:val="0"/>
        <w:pageBreakBefore w:val="0"/>
        <w:widowControl/>
        <w:kinsoku/>
        <w:wordWrap/>
        <w:overflowPunct/>
        <w:topLinePunct w:val="0"/>
        <w:bidi w:val="0"/>
        <w:spacing w:before="62" w:beforeAutospacing="0" w:after="0" w:afterAutospacing="0" w:line="360" w:lineRule="auto"/>
        <w:ind w:left="100" w:right="239" w:firstLine="48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1、城市道路的保修期为1年；</w:t>
      </w:r>
    </w:p>
    <w:p w14:paraId="355EE3C7">
      <w:pPr>
        <w:pStyle w:val="4"/>
        <w:keepNext w:val="0"/>
        <w:keepLines w:val="0"/>
        <w:pageBreakBefore w:val="0"/>
        <w:widowControl/>
        <w:kinsoku/>
        <w:wordWrap/>
        <w:overflowPunct/>
        <w:topLinePunct w:val="0"/>
        <w:bidi w:val="0"/>
        <w:spacing w:before="62" w:beforeAutospacing="0" w:after="0" w:afterAutospacing="0" w:line="360" w:lineRule="auto"/>
        <w:ind w:left="100" w:right="239" w:firstLine="48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2、电气管线、给排水管道和设备安装工程为2年；</w:t>
      </w:r>
    </w:p>
    <w:p w14:paraId="322AC1AF">
      <w:pPr>
        <w:pStyle w:val="4"/>
        <w:keepNext w:val="0"/>
        <w:keepLines w:val="0"/>
        <w:pageBreakBefore w:val="0"/>
        <w:widowControl/>
        <w:kinsoku/>
        <w:wordWrap/>
        <w:overflowPunct/>
        <w:topLinePunct w:val="0"/>
        <w:bidi w:val="0"/>
        <w:spacing w:before="62" w:beforeAutospacing="0" w:after="0" w:afterAutospacing="0" w:line="360" w:lineRule="auto"/>
        <w:ind w:left="100" w:right="239" w:firstLine="48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3、绿化按照双方所签订合同的具体约定进行处理；</w:t>
      </w:r>
    </w:p>
    <w:p w14:paraId="5E27EC33">
      <w:pPr>
        <w:pStyle w:val="4"/>
        <w:keepNext w:val="0"/>
        <w:keepLines w:val="0"/>
        <w:pageBreakBefore w:val="0"/>
        <w:widowControl/>
        <w:kinsoku/>
        <w:wordWrap/>
        <w:overflowPunct/>
        <w:topLinePunct w:val="0"/>
        <w:bidi w:val="0"/>
        <w:spacing w:before="62" w:beforeAutospacing="0" w:after="0" w:afterAutospacing="0" w:line="360" w:lineRule="auto"/>
        <w:ind w:left="100" w:right="239" w:firstLine="48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4、保修期内出现工程质量问题，由有关责任单位负责保修，城市道路实行工程质量保修制度，本工程保修期，自交付使用之日起计算。</w:t>
      </w:r>
    </w:p>
    <w:p w14:paraId="727DA373">
      <w:pPr>
        <w:keepNext w:val="0"/>
        <w:keepLines w:val="0"/>
        <w:pageBreakBefore w:val="0"/>
        <w:widowControl w:val="0"/>
        <w:suppressLineNumbers w:val="0"/>
        <w:kinsoku/>
        <w:wordWrap/>
        <w:overflowPunct/>
        <w:topLinePunct w:val="0"/>
        <w:autoSpaceDE w:val="0"/>
        <w:autoSpaceDN w:val="0"/>
        <w:bidi w:val="0"/>
        <w:spacing w:before="121" w:beforeAutospacing="0" w:after="0" w:afterAutospacing="0" w:line="360" w:lineRule="auto"/>
        <w:ind w:left="580" w:right="0"/>
        <w:jc w:val="left"/>
        <w:textAlignment w:val="auto"/>
        <w:rPr>
          <w:rFonts w:hint="eastAsia" w:ascii="宋体" w:hAnsi="宋体" w:eastAsia="宋体" w:cs="宋体"/>
          <w:b/>
          <w:bCs w:val="0"/>
          <w:color w:val="auto"/>
          <w:sz w:val="24"/>
          <w:szCs w:val="24"/>
          <w:highlight w:val="none"/>
          <w:lang w:val="en-US" w:eastAsia="zh-CN"/>
        </w:rPr>
      </w:pPr>
      <w:bookmarkStart w:id="7" w:name="_bookmark38"/>
      <w:bookmarkEnd w:id="7"/>
      <w:r>
        <w:rPr>
          <w:rFonts w:hint="eastAsia" w:ascii="宋体" w:hAnsi="宋体" w:eastAsia="宋体" w:cs="宋体"/>
          <w:b/>
          <w:bCs w:val="0"/>
          <w:color w:val="auto"/>
          <w:w w:val="95"/>
          <w:kern w:val="0"/>
          <w:sz w:val="24"/>
          <w:szCs w:val="24"/>
          <w:highlight w:val="none"/>
          <w:lang w:val="en-US" w:eastAsia="zh-CN" w:bidi="ar"/>
        </w:rPr>
        <w:t>三、缺陷责任期</w:t>
      </w:r>
    </w:p>
    <w:p w14:paraId="0D5335D8">
      <w:pPr>
        <w:pStyle w:val="4"/>
        <w:keepNext w:val="0"/>
        <w:keepLines w:val="0"/>
        <w:pageBreakBefore w:val="0"/>
        <w:widowControl/>
        <w:kinsoku/>
        <w:wordWrap/>
        <w:overflowPunct/>
        <w:topLinePunct w:val="0"/>
        <w:bidi w:val="0"/>
        <w:spacing w:before="62" w:beforeAutospacing="0" w:after="0" w:afterAutospacing="0" w:line="360" w:lineRule="auto"/>
        <w:ind w:left="100" w:right="239" w:firstLine="480"/>
        <w:jc w:val="both"/>
        <w:textAlignment w:val="auto"/>
        <w:rPr>
          <w:rFonts w:hint="eastAsia" w:ascii="宋体" w:hAnsi="宋体" w:eastAsia="宋体" w:cs="宋体"/>
          <w:color w:val="auto"/>
          <w:sz w:val="24"/>
          <w:szCs w:val="24"/>
          <w:highlight w:val="none"/>
          <w:lang w:val="en-US" w:eastAsia="zh-CN"/>
        </w:rPr>
      </w:pPr>
      <w:bookmarkStart w:id="8" w:name="工程缺陷责任期为贰年，缺陷责任期自工程通过竣工验收之日起计算。单位工程先于全部工"/>
      <w:bookmarkEnd w:id="8"/>
      <w:r>
        <w:rPr>
          <w:rFonts w:hint="eastAsia" w:ascii="宋体" w:hAnsi="宋体" w:eastAsia="宋体" w:cs="宋体"/>
          <w:color w:val="auto"/>
          <w:sz w:val="24"/>
          <w:szCs w:val="24"/>
          <w:highlight w:val="none"/>
          <w:lang w:eastAsia="zh-CN"/>
        </w:rPr>
        <w:t>工程缺陷责任期为贰年，缺陷责任期自工程通过竣工验收之日起计算。单位工程先于全部工程进行验收，单位工程缺陷责任期自单位工程验收合格之日起算。</w:t>
      </w:r>
    </w:p>
    <w:p w14:paraId="40D4EFE3">
      <w:pPr>
        <w:keepNext w:val="0"/>
        <w:keepLines w:val="0"/>
        <w:pageBreakBefore w:val="0"/>
        <w:widowControl w:val="0"/>
        <w:suppressLineNumbers w:val="0"/>
        <w:kinsoku/>
        <w:wordWrap/>
        <w:overflowPunct/>
        <w:topLinePunct w:val="0"/>
        <w:autoSpaceDE w:val="0"/>
        <w:autoSpaceDN w:val="0"/>
        <w:bidi w:val="0"/>
        <w:spacing w:before="27" w:beforeAutospacing="0" w:after="0" w:afterAutospacing="0" w:line="360" w:lineRule="auto"/>
        <w:ind w:left="570" w:right="0"/>
        <w:jc w:val="left"/>
        <w:textAlignment w:val="auto"/>
        <w:rPr>
          <w:rFonts w:hint="eastAsia" w:ascii="宋体" w:hAnsi="宋体" w:eastAsia="宋体" w:cs="宋体"/>
          <w:b/>
          <w:bCs w:val="0"/>
          <w:color w:val="auto"/>
          <w:sz w:val="24"/>
          <w:szCs w:val="24"/>
          <w:highlight w:val="none"/>
          <w:lang w:val="en-US" w:eastAsia="zh-CN"/>
        </w:rPr>
      </w:pPr>
      <w:bookmarkStart w:id="9" w:name="四、质量保修责任"/>
      <w:bookmarkEnd w:id="9"/>
      <w:r>
        <w:rPr>
          <w:rFonts w:hint="eastAsia" w:ascii="宋体" w:hAnsi="宋体" w:eastAsia="宋体" w:cs="宋体"/>
          <w:b/>
          <w:bCs w:val="0"/>
          <w:color w:val="auto"/>
          <w:w w:val="95"/>
          <w:kern w:val="0"/>
          <w:sz w:val="24"/>
          <w:szCs w:val="24"/>
          <w:highlight w:val="none"/>
          <w:lang w:val="en-US" w:eastAsia="zh-CN" w:bidi="ar"/>
        </w:rPr>
        <w:t>四、质量保修责任</w:t>
      </w:r>
    </w:p>
    <w:p w14:paraId="3E8AE762">
      <w:pPr>
        <w:pStyle w:val="4"/>
        <w:keepNext w:val="0"/>
        <w:keepLines w:val="0"/>
        <w:pageBreakBefore w:val="0"/>
        <w:widowControl/>
        <w:kinsoku/>
        <w:wordWrap/>
        <w:overflowPunct/>
        <w:topLinePunct w:val="0"/>
        <w:bidi w:val="0"/>
        <w:spacing w:before="62" w:beforeAutospacing="0" w:after="0" w:afterAutospacing="0" w:line="360" w:lineRule="auto"/>
        <w:ind w:left="100" w:right="239" w:firstLine="48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．属于质量保修范围、内容的项目，承包人应当在接到质量保修通知之日起</w:t>
      </w:r>
      <w:r>
        <w:rPr>
          <w:rFonts w:hint="eastAsia" w:ascii="宋体" w:hAnsi="宋体" w:eastAsia="宋体" w:cs="宋体"/>
          <w:color w:val="auto"/>
          <w:sz w:val="24"/>
          <w:szCs w:val="24"/>
          <w:highlight w:val="none"/>
          <w:lang w:val="en-US" w:eastAsia="zh-CN"/>
        </w:rPr>
        <w:t>24 小时内派人质量保修。承包人不在约定期限内派人质量保修的，发包人可以委托他人修理，发生的费用从质量保修金中扣除。质保金不足以支付修理费的，发包人有权就不足部分要求承包人继续支付。</w:t>
      </w:r>
    </w:p>
    <w:p w14:paraId="6BE58CE4">
      <w:pPr>
        <w:pStyle w:val="4"/>
        <w:keepNext w:val="0"/>
        <w:keepLines w:val="0"/>
        <w:pageBreakBefore w:val="0"/>
        <w:widowControl/>
        <w:kinsoku/>
        <w:wordWrap/>
        <w:overflowPunct/>
        <w:topLinePunct w:val="0"/>
        <w:bidi w:val="0"/>
        <w:spacing w:before="62" w:beforeAutospacing="0" w:after="0" w:afterAutospacing="0" w:line="360" w:lineRule="auto"/>
        <w:ind w:left="100" w:right="239" w:firstLine="48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．发生紧急抢修事故的，承包人在接到事故通知后立即到达事故现场抢修。</w:t>
      </w:r>
    </w:p>
    <w:p w14:paraId="000E6E94">
      <w:pPr>
        <w:pStyle w:val="4"/>
        <w:keepNext w:val="0"/>
        <w:keepLines w:val="0"/>
        <w:pageBreakBefore w:val="0"/>
        <w:widowControl/>
        <w:kinsoku/>
        <w:wordWrap/>
        <w:overflowPunct/>
        <w:topLinePunct w:val="0"/>
        <w:bidi w:val="0"/>
        <w:spacing w:before="62" w:beforeAutospacing="0" w:after="0" w:afterAutospacing="0" w:line="360" w:lineRule="auto"/>
        <w:ind w:left="100" w:right="239" w:firstLine="48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．对于涉及结构安全（桥涵）的质量问题，立即向当地行政主管部门报告，采取安全防范措施；由原设计单位或具有相应资质等级有设计单位提出质量保修方案，承包人实施质量保修。</w:t>
      </w:r>
    </w:p>
    <w:p w14:paraId="4E08EFED">
      <w:pPr>
        <w:pStyle w:val="4"/>
        <w:keepNext w:val="0"/>
        <w:keepLines w:val="0"/>
        <w:pageBreakBefore w:val="0"/>
        <w:widowControl/>
        <w:kinsoku/>
        <w:wordWrap/>
        <w:overflowPunct/>
        <w:topLinePunct w:val="0"/>
        <w:bidi w:val="0"/>
        <w:spacing w:before="62" w:beforeAutospacing="0" w:after="0" w:afterAutospacing="0" w:line="360" w:lineRule="auto"/>
        <w:ind w:left="100" w:right="239" w:firstLine="48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4．质量保修完成后，由发包人组织验收。</w:t>
      </w:r>
      <w:bookmarkStart w:id="10" w:name="五、质量保修费用"/>
      <w:bookmarkEnd w:id="10"/>
    </w:p>
    <w:p w14:paraId="3C73B165">
      <w:pPr>
        <w:pStyle w:val="4"/>
        <w:keepNext w:val="0"/>
        <w:keepLines w:val="0"/>
        <w:pageBreakBefore w:val="0"/>
        <w:widowControl/>
        <w:kinsoku/>
        <w:wordWrap/>
        <w:overflowPunct/>
        <w:topLinePunct w:val="0"/>
        <w:bidi w:val="0"/>
        <w:spacing w:before="62" w:beforeAutospacing="0" w:after="0" w:afterAutospacing="0" w:line="360" w:lineRule="auto"/>
        <w:ind w:left="100" w:right="239" w:firstLine="480"/>
        <w:jc w:val="both"/>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w w:val="95"/>
          <w:kern w:val="0"/>
          <w:sz w:val="24"/>
          <w:szCs w:val="24"/>
          <w:highlight w:val="none"/>
          <w:lang w:val="en-US" w:eastAsia="zh-CN" w:bidi="ar"/>
        </w:rPr>
        <w:t>五、质量保修费用</w:t>
      </w:r>
    </w:p>
    <w:p w14:paraId="5AC13952">
      <w:pPr>
        <w:pStyle w:val="4"/>
        <w:keepNext w:val="0"/>
        <w:keepLines w:val="0"/>
        <w:pageBreakBefore w:val="0"/>
        <w:widowControl/>
        <w:kinsoku/>
        <w:wordWrap/>
        <w:overflowPunct/>
        <w:topLinePunct w:val="0"/>
        <w:bidi w:val="0"/>
        <w:spacing w:before="62" w:beforeAutospacing="0" w:after="0" w:afterAutospacing="0" w:line="360" w:lineRule="auto"/>
        <w:ind w:left="580" w:right="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质量保修费用由造成质量缺陷的责任方承担。</w:t>
      </w:r>
    </w:p>
    <w:p w14:paraId="7AD9D564">
      <w:pPr>
        <w:keepNext w:val="0"/>
        <w:keepLines w:val="0"/>
        <w:pageBreakBefore w:val="0"/>
        <w:widowControl w:val="0"/>
        <w:suppressLineNumbers w:val="0"/>
        <w:kinsoku/>
        <w:wordWrap/>
        <w:overflowPunct/>
        <w:topLinePunct w:val="0"/>
        <w:autoSpaceDE w:val="0"/>
        <w:autoSpaceDN w:val="0"/>
        <w:bidi w:val="0"/>
        <w:spacing w:before="62" w:beforeAutospacing="0" w:after="0" w:afterAutospacing="0" w:line="360" w:lineRule="auto"/>
        <w:ind w:left="570" w:right="3581" w:firstLine="9"/>
        <w:jc w:val="left"/>
        <w:textAlignment w:val="auto"/>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w w:val="95"/>
          <w:kern w:val="0"/>
          <w:sz w:val="24"/>
          <w:szCs w:val="24"/>
          <w:highlight w:val="none"/>
          <w:lang w:val="en-US" w:eastAsia="zh-CN" w:bidi="ar"/>
        </w:rPr>
        <w:t>六、质量保修金</w:t>
      </w:r>
    </w:p>
    <w:p w14:paraId="31C2FC93">
      <w:pPr>
        <w:pStyle w:val="4"/>
        <w:keepNext w:val="0"/>
        <w:keepLines w:val="0"/>
        <w:pageBreakBefore w:val="0"/>
        <w:widowControl/>
        <w:kinsoku/>
        <w:wordWrap/>
        <w:overflowPunct/>
        <w:topLinePunct w:val="0"/>
        <w:bidi w:val="0"/>
        <w:spacing w:before="62" w:beforeAutospacing="0" w:after="0" w:afterAutospacing="0" w:line="360" w:lineRule="auto"/>
        <w:ind w:left="580" w:right="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工程质量保修金为工程结算价款的</w:t>
      </w:r>
      <w:r>
        <w:rPr>
          <w:rFonts w:hint="eastAsia" w:ascii="宋体" w:hAnsi="宋体" w:eastAsia="宋体" w:cs="宋体"/>
          <w:color w:val="auto"/>
          <w:sz w:val="24"/>
          <w:szCs w:val="24"/>
          <w:highlight w:val="none"/>
          <w:lang w:val="en-US" w:eastAsia="zh-CN"/>
        </w:rPr>
        <w:t xml:space="preserve"> 3</w:t>
      </w:r>
      <w:r>
        <w:rPr>
          <w:rFonts w:hint="eastAsia" w:ascii="宋体" w:hAnsi="宋体" w:eastAsia="宋体" w:cs="宋体"/>
          <w:color w:val="auto"/>
          <w:sz w:val="24"/>
          <w:szCs w:val="24"/>
          <w:highlight w:val="none"/>
          <w:lang w:eastAsia="zh-CN"/>
        </w:rPr>
        <w:t>％。</w:t>
      </w:r>
    </w:p>
    <w:p w14:paraId="7532FDAA">
      <w:pPr>
        <w:pStyle w:val="4"/>
        <w:keepNext w:val="0"/>
        <w:keepLines w:val="0"/>
        <w:pageBreakBefore w:val="0"/>
        <w:widowControl/>
        <w:kinsoku/>
        <w:wordWrap/>
        <w:overflowPunct/>
        <w:topLinePunct w:val="0"/>
        <w:bidi w:val="0"/>
        <w:spacing w:before="0" w:beforeAutospacing="0" w:after="0" w:afterAutospacing="0" w:line="360" w:lineRule="auto"/>
        <w:ind w:left="100" w:right="220" w:firstLine="48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本工程质量保修书，作为施工合同附件，工程竣工后双方签订，其有效期限至质量保修期满。</w:t>
      </w:r>
    </w:p>
    <w:p w14:paraId="0B733A5D">
      <w:pPr>
        <w:pStyle w:val="4"/>
        <w:keepNext w:val="0"/>
        <w:keepLines w:val="0"/>
        <w:pageBreakBefore w:val="0"/>
        <w:widowControl/>
        <w:tabs>
          <w:tab w:val="left" w:pos="4879"/>
        </w:tabs>
        <w:kinsoku/>
        <w:wordWrap/>
        <w:overflowPunct/>
        <w:topLinePunct w:val="0"/>
        <w:bidi w:val="0"/>
        <w:spacing w:before="121" w:beforeAutospacing="0" w:after="0" w:afterAutospacing="0" w:line="360" w:lineRule="auto"/>
        <w:ind w:left="560" w:right="0"/>
        <w:textAlignment w:val="auto"/>
        <w:rPr>
          <w:rFonts w:hint="eastAsia" w:ascii="宋体" w:hAnsi="宋体" w:eastAsia="宋体" w:cs="宋体"/>
          <w:color w:val="auto"/>
          <w:sz w:val="24"/>
          <w:szCs w:val="24"/>
          <w:highlight w:val="none"/>
          <w:lang w:eastAsia="zh-CN"/>
        </w:rPr>
      </w:pPr>
      <w:bookmarkStart w:id="11" w:name="_bookmark39"/>
      <w:bookmarkEnd w:id="11"/>
    </w:p>
    <w:p w14:paraId="54BD22B9">
      <w:pPr>
        <w:pStyle w:val="4"/>
        <w:keepNext w:val="0"/>
        <w:keepLines w:val="0"/>
        <w:pageBreakBefore w:val="0"/>
        <w:widowControl/>
        <w:tabs>
          <w:tab w:val="left" w:pos="4879"/>
        </w:tabs>
        <w:kinsoku/>
        <w:wordWrap/>
        <w:overflowPunct/>
        <w:topLinePunct w:val="0"/>
        <w:bidi w:val="0"/>
        <w:spacing w:before="121" w:beforeAutospacing="0" w:after="0" w:afterAutospacing="0" w:line="360" w:lineRule="auto"/>
        <w:ind w:left="560" w:right="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发包人（盖章）：</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eastAsia="zh-CN"/>
        </w:rPr>
        <w:t>承包人（盖章）：</w:t>
      </w:r>
    </w:p>
    <w:p w14:paraId="1804A56F">
      <w:pPr>
        <w:pStyle w:val="4"/>
        <w:keepNext w:val="0"/>
        <w:keepLines w:val="0"/>
        <w:pageBreakBefore w:val="0"/>
        <w:widowControl/>
        <w:kinsoku/>
        <w:wordWrap/>
        <w:overflowPunct/>
        <w:topLinePunct w:val="0"/>
        <w:bidi w:val="0"/>
        <w:spacing w:before="12" w:beforeAutospacing="0" w:line="360" w:lineRule="auto"/>
        <w:textAlignment w:val="auto"/>
        <w:rPr>
          <w:rFonts w:hint="eastAsia" w:ascii="宋体" w:hAnsi="宋体" w:eastAsia="宋体" w:cs="宋体"/>
          <w:color w:val="auto"/>
          <w:sz w:val="24"/>
          <w:szCs w:val="24"/>
          <w:highlight w:val="none"/>
          <w:lang w:val="en-US" w:eastAsia="zh-CN"/>
        </w:rPr>
      </w:pPr>
    </w:p>
    <w:p w14:paraId="6A94AB45">
      <w:pPr>
        <w:pStyle w:val="4"/>
        <w:keepNext w:val="0"/>
        <w:keepLines w:val="0"/>
        <w:pageBreakBefore w:val="0"/>
        <w:widowControl/>
        <w:tabs>
          <w:tab w:val="left" w:pos="4879"/>
        </w:tabs>
        <w:kinsoku/>
        <w:wordWrap/>
        <w:overflowPunct/>
        <w:topLinePunct w:val="0"/>
        <w:bidi w:val="0"/>
        <w:spacing w:before="1" w:beforeAutospacing="0" w:after="0" w:afterAutospacing="0" w:line="360" w:lineRule="auto"/>
        <w:ind w:left="560" w:right="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eastAsia="zh-CN"/>
        </w:rPr>
        <w:t>法定代表人</w:t>
      </w:r>
    </w:p>
    <w:p w14:paraId="47BDEF30">
      <w:pPr>
        <w:pStyle w:val="4"/>
        <w:keepNext w:val="0"/>
        <w:keepLines w:val="0"/>
        <w:pageBreakBefore w:val="0"/>
        <w:widowControl/>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p>
    <w:p w14:paraId="40BA9DE1">
      <w:pPr>
        <w:pStyle w:val="4"/>
        <w:keepNext w:val="0"/>
        <w:keepLines w:val="0"/>
        <w:pageBreakBefore w:val="0"/>
        <w:widowControl/>
        <w:tabs>
          <w:tab w:val="left" w:pos="4879"/>
        </w:tabs>
        <w:kinsoku/>
        <w:wordWrap/>
        <w:overflowPunct/>
        <w:topLinePunct w:val="0"/>
        <w:bidi w:val="0"/>
        <w:spacing w:before="121" w:beforeAutospacing="0" w:after="0" w:afterAutospacing="0" w:line="360" w:lineRule="auto"/>
        <w:ind w:left="560" w:right="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或委托代理人（签字或盖章）：</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eastAsia="zh-CN"/>
        </w:rPr>
        <w:t>或委托代理人（签字或盖章）：</w:t>
      </w:r>
    </w:p>
    <w:p w14:paraId="4E513A6F">
      <w:pPr>
        <w:pStyle w:val="4"/>
        <w:keepNext w:val="0"/>
        <w:keepLines w:val="0"/>
        <w:pageBreakBefore w:val="0"/>
        <w:widowControl/>
        <w:tabs>
          <w:tab w:val="left" w:pos="4879"/>
        </w:tabs>
        <w:kinsoku/>
        <w:wordWrap/>
        <w:overflowPunct/>
        <w:topLinePunct w:val="0"/>
        <w:bidi w:val="0"/>
        <w:spacing w:before="121" w:beforeAutospacing="0" w:after="0" w:afterAutospacing="0" w:line="360" w:lineRule="auto"/>
        <w:ind w:right="0"/>
        <w:jc w:val="left"/>
        <w:textAlignment w:val="auto"/>
        <w:rPr>
          <w:rFonts w:hint="eastAsia" w:ascii="宋体" w:hAnsi="宋体" w:eastAsia="宋体" w:cs="宋体"/>
          <w:color w:val="auto"/>
          <w:sz w:val="24"/>
          <w:szCs w:val="24"/>
          <w:highlight w:val="none"/>
          <w:lang w:eastAsia="zh-CN"/>
        </w:rPr>
      </w:pPr>
    </w:p>
    <w:p w14:paraId="2BFDA422">
      <w:pPr>
        <w:pStyle w:val="4"/>
        <w:keepNext w:val="0"/>
        <w:keepLines w:val="0"/>
        <w:pageBreakBefore w:val="0"/>
        <w:widowControl/>
        <w:tabs>
          <w:tab w:val="left" w:pos="4879"/>
        </w:tabs>
        <w:kinsoku/>
        <w:wordWrap/>
        <w:overflowPunct/>
        <w:topLinePunct w:val="0"/>
        <w:bidi w:val="0"/>
        <w:spacing w:before="121" w:beforeAutospacing="0" w:after="0" w:afterAutospacing="0" w:line="360" w:lineRule="auto"/>
        <w:ind w:left="560" w:right="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签订日期：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eastAsia="zh-CN"/>
        </w:rPr>
        <w:t>签订日期：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eastAsia="zh-CN"/>
        </w:rPr>
        <w:t>日</w:t>
      </w:r>
    </w:p>
    <w:p w14:paraId="5BA039BF">
      <w:pPr>
        <w:pStyle w:val="4"/>
        <w:keepNext w:val="0"/>
        <w:keepLines w:val="0"/>
        <w:pageBreakBefore w:val="0"/>
        <w:widowControl/>
        <w:tabs>
          <w:tab w:val="left" w:pos="4879"/>
        </w:tabs>
        <w:kinsoku/>
        <w:wordWrap/>
        <w:overflowPunct/>
        <w:topLinePunct w:val="0"/>
        <w:bidi w:val="0"/>
        <w:spacing w:before="121" w:beforeAutospacing="0" w:after="0" w:afterAutospacing="0" w:line="360" w:lineRule="auto"/>
        <w:ind w:right="0"/>
        <w:jc w:val="left"/>
        <w:textAlignment w:val="auto"/>
        <w:rPr>
          <w:color w:val="auto"/>
          <w:highlight w:val="none"/>
          <w:lang w:val="en-US" w:eastAsia="zh-CN"/>
        </w:rPr>
      </w:pPr>
    </w:p>
    <w:p w14:paraId="46A4F183">
      <w:pPr>
        <w:pStyle w:val="4"/>
        <w:keepNext w:val="0"/>
        <w:keepLines w:val="0"/>
        <w:pageBreakBefore w:val="0"/>
        <w:widowControl/>
        <w:kinsoku/>
        <w:wordWrap/>
        <w:overflowPunct/>
        <w:topLinePunct w:val="0"/>
        <w:bidi w:val="0"/>
        <w:spacing w:before="1" w:beforeAutospacing="0" w:after="0" w:afterAutospacing="0" w:line="360" w:lineRule="auto"/>
        <w:ind w:right="0"/>
        <w:textAlignment w:val="auto"/>
        <w:rPr>
          <w:color w:val="auto"/>
          <w:highlight w:val="none"/>
        </w:rPr>
      </w:pPr>
      <w:bookmarkStart w:id="12" w:name="（本页无正文）附件五："/>
      <w:bookmarkEnd w:id="12"/>
    </w:p>
    <w:p w14:paraId="37E8CFFB">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附件8</w:t>
      </w:r>
    </w:p>
    <w:p w14:paraId="72977FAA">
      <w:pPr>
        <w:keepNext w:val="0"/>
        <w:keepLines w:val="0"/>
        <w:pageBreakBefore w:val="0"/>
        <w:kinsoku/>
        <w:wordWrap/>
        <w:overflowPunct/>
        <w:topLinePunct w:val="0"/>
        <w:bidi w:val="0"/>
        <w:spacing w:after="312" w:afterLines="100" w:line="360" w:lineRule="auto"/>
        <w:ind w:left="420" w:leftChars="200" w:firstLine="723"/>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施工安全生产合同书</w:t>
      </w:r>
    </w:p>
    <w:p w14:paraId="2204E893">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发包人（全称）：</w:t>
      </w:r>
      <w:r>
        <w:rPr>
          <w:rFonts w:hint="eastAsia" w:ascii="宋体" w:hAnsi="宋体" w:cs="宋体"/>
          <w:color w:val="auto"/>
          <w:kern w:val="0"/>
          <w:sz w:val="24"/>
          <w:szCs w:val="24"/>
          <w:highlight w:val="none"/>
          <w:u w:val="single"/>
          <w:lang w:eastAsia="zh-CN"/>
        </w:rPr>
        <w:t>陕西省中医医院</w:t>
      </w:r>
    </w:p>
    <w:p w14:paraId="63ABE313">
      <w:pPr>
        <w:keepNext w:val="0"/>
        <w:keepLines w:val="0"/>
        <w:pageBreakBefore w:val="0"/>
        <w:widowControl/>
        <w:kinsoku/>
        <w:wordWrap/>
        <w:overflowPunct/>
        <w:topLinePunct w:val="0"/>
        <w:bidi w:val="0"/>
        <w:spacing w:line="360" w:lineRule="auto"/>
        <w:ind w:firstLine="480" w:firstLineChars="200"/>
        <w:textAlignment w:val="auto"/>
        <w:rPr>
          <w:rFonts w:hint="eastAsia" w:ascii="宋体" w:hAnsi="宋体" w:eastAsia="宋体" w:cs="宋体"/>
          <w:b/>
          <w:color w:val="auto"/>
          <w:kern w:val="0"/>
          <w:sz w:val="24"/>
          <w:szCs w:val="24"/>
          <w:highlight w:val="none"/>
          <w:u w:val="single"/>
        </w:rPr>
      </w:pPr>
      <w:r>
        <w:rPr>
          <w:rFonts w:hint="eastAsia" w:ascii="宋体" w:hAnsi="宋体" w:eastAsia="宋体" w:cs="宋体"/>
          <w:color w:val="auto"/>
          <w:kern w:val="0"/>
          <w:sz w:val="24"/>
          <w:szCs w:val="24"/>
          <w:highlight w:val="none"/>
        </w:rPr>
        <w:t>承包人（全称）：</w:t>
      </w:r>
      <w:r>
        <w:rPr>
          <w:rFonts w:hint="eastAsia" w:ascii="宋体" w:hAnsi="宋体" w:eastAsia="宋体" w:cs="宋体"/>
          <w:b/>
          <w:color w:val="auto"/>
          <w:kern w:val="0"/>
          <w:sz w:val="24"/>
          <w:szCs w:val="24"/>
          <w:highlight w:val="none"/>
          <w:u w:val="single"/>
        </w:rPr>
        <w:t xml:space="preserve">                            </w:t>
      </w:r>
    </w:p>
    <w:p w14:paraId="7FBA9858">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建设工程安全生产管理，落实安全生产责任，防止和减少生产安全事故，经甲乙双方在平等、自愿的基础上协商一致，根据《中华人民共和国安全生产法》、《建设工程安全生产管理条例》及相关法律、法规的规定，达成如下合同。</w:t>
      </w:r>
    </w:p>
    <w:p w14:paraId="6A023062">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一、建设工程安全生产管理目标及必须达到的安全事故控制指标</w:t>
      </w:r>
    </w:p>
    <w:p w14:paraId="755C176C">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4156861F">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1、因工死亡率为零；</w:t>
      </w:r>
    </w:p>
    <w:p w14:paraId="7397143E">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2、因工重伤率为零；</w:t>
      </w:r>
    </w:p>
    <w:p w14:paraId="1E74C070">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3、因工轻伤事故率不高于1.5‰；</w:t>
      </w:r>
    </w:p>
    <w:p w14:paraId="590E0644">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4、不发生损失额2万元以上的机械、设备、交通和火灾事故。</w:t>
      </w:r>
    </w:p>
    <w:p w14:paraId="08F90AEB">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二、本合同有效期限</w:t>
      </w:r>
    </w:p>
    <w:p w14:paraId="233699D1">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自承包人入驻施工场地之日起，至工程竣工验收合格交付发包人使用时止。</w:t>
      </w:r>
    </w:p>
    <w:p w14:paraId="29CAD1B2">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三、发包人的安全生产管理权利</w:t>
      </w:r>
    </w:p>
    <w:p w14:paraId="19EFD3AE">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1、监督检查承包人的各项安全生产工作，对建筑工地现场实施日常检查和定期、不定期的巡查。</w:t>
      </w:r>
    </w:p>
    <w:p w14:paraId="2F82AB8B">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2、在实施检查、巡查过程中，发现建设工程存在安全事故隐患的，有权要求承包人暂时停止施工进行整改，直至消除安全事故隐患。</w:t>
      </w:r>
    </w:p>
    <w:p w14:paraId="3EA019EF">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3、查阅与检查、巡查事项有关的文件、资料。并可根据实际情况，对施工现场进行检测、拍照、录音、摄像等。</w:t>
      </w:r>
    </w:p>
    <w:p w14:paraId="37B37A35">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4、承包人违反安全生产约定或规定时，发包人有权要求其支付违约金，并承担其他违约责任。</w:t>
      </w:r>
    </w:p>
    <w:p w14:paraId="0ACABBB3">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四、发包人的安全生产管理义务</w:t>
      </w:r>
    </w:p>
    <w:p w14:paraId="51A2EB45">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1、发包人不得对承包人提出不符合建设工程安全生产法律、法规和强制性标准的要求。</w:t>
      </w:r>
    </w:p>
    <w:p w14:paraId="02C5C4C1">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2、发包人不得明示或暗示承包人购买、租赁、使用不符合安全施工要求的安全防护用具、机械设备、施工机具及配件、消防设施和器材。</w:t>
      </w:r>
    </w:p>
    <w:p w14:paraId="6A74443E">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3、对承包人施工现场采取的安全施工技术措施，根据承包人的请求，提供必要的协助。</w:t>
      </w:r>
    </w:p>
    <w:p w14:paraId="181E4E85">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五、承包人的安全生产责任与义务</w:t>
      </w:r>
    </w:p>
    <w:p w14:paraId="7DA11877">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1、承包人应当在其资质等级许可范围内，并具备安全生产许可证的条件下承揽工程。</w:t>
      </w:r>
    </w:p>
    <w:p w14:paraId="343F5FF1">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11F473E2">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3、建立、健全与落实安全生产责任制度、安全生产教育培训制度、安全生产规章制度和操作规程。</w:t>
      </w:r>
    </w:p>
    <w:p w14:paraId="56DF2051">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4、设立安全生产管理机构，配备专职安全生产管理人员。</w:t>
      </w:r>
    </w:p>
    <w:p w14:paraId="02909630">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5、根据工程特点组织制定安全施工措施，消除安全事故隐患。强化对基坑开挖、起重吊装、模板工程等危险性较大的工程施工的监控和安全防护措施的落实，严防高空坠落、施工坍塌等安全事故的发生。</w:t>
      </w:r>
    </w:p>
    <w:p w14:paraId="5425CB32">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6、随时接受发包人实施的安全检查、巡查、并按照发包人的要求进行整改，消除安全事故隐患，确保安全生产。</w:t>
      </w:r>
    </w:p>
    <w:p w14:paraId="0BC1081B">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7、承包人应当在施工现场入口处、施工起重机械、临时用电设施、脚手架、出入通道口、基坑边沿等危险部位，设置明显的安全警示标志，安全警示标志必须符合国家标准。</w:t>
      </w:r>
    </w:p>
    <w:p w14:paraId="6C647409">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8、承包人应根据不同施工阶段和周围环境及季节、气候气象的变化，在施工现场采取相应的安全施工措施。确保雨季等特殊气候气象情况下的施工安全。</w:t>
      </w:r>
    </w:p>
    <w:p w14:paraId="2BD8ECF2">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9、对建设工程施工进行定期和专项安全自检，并做好安全检查记录，及时发现并消除安全生产事故隐患。</w:t>
      </w:r>
    </w:p>
    <w:p w14:paraId="19935D4A">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10、在施工现场建立消防安全责任制度，确定消防安全责任人，制定用火、用电等各项消防安全管理制度和操作规程。</w:t>
      </w:r>
    </w:p>
    <w:p w14:paraId="0A028D3C">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11、制定实施工程现场生产安全事故应急救援预案，并定期组织演练。</w:t>
      </w:r>
    </w:p>
    <w:p w14:paraId="585DA235">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12、根据安全生产法律、法规、规章及相关标准、规程的规定，承包人应承担的其它责任与义务。</w:t>
      </w:r>
    </w:p>
    <w:p w14:paraId="40BD620E">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六、现场停工整改约定</w:t>
      </w:r>
    </w:p>
    <w:p w14:paraId="5448D576">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0D4046D1">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2、承包人进行整改后，经发包人检查已消除安全事故隐患的，可以进行复工。</w:t>
      </w:r>
    </w:p>
    <w:p w14:paraId="52FFBCA0">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3、若在一个月内由于承包人出现安全事故隐患，被发包人下达停工整改通知累计两次的，则承包人同意发包人暂不支付其当月的工程进度款，该月工程进度款延期至工程竣工验收合格后再行支付。</w:t>
      </w:r>
    </w:p>
    <w:p w14:paraId="35EE627D">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七、安全生产保证金的缴纳与补缴约定</w:t>
      </w:r>
    </w:p>
    <w:p w14:paraId="446B2D12">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1、本合同采用第 ① 种缴纳方式。</w:t>
      </w:r>
    </w:p>
    <w:p w14:paraId="0B62DDF3">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 承包人承诺，自本合同生效后7个工作日内，向发包人指定的安全生产保证金专用账户，汇付安全生产保证金，安全生产保证金缴纳标准为：合同暂定总价的</w:t>
      </w:r>
      <w:r>
        <w:rPr>
          <w:rFonts w:hint="eastAsia" w:ascii="宋体" w:hAnsi="宋体" w:eastAsia="宋体" w:cs="宋体"/>
          <w:color w:val="auto"/>
          <w:sz w:val="24"/>
          <w:szCs w:val="24"/>
          <w:highlight w:val="none"/>
          <w:u w:val="single"/>
        </w:rPr>
        <w:t xml:space="preserve"> 1 </w:t>
      </w:r>
      <w:r>
        <w:rPr>
          <w:rFonts w:hint="eastAsia" w:ascii="宋体" w:hAnsi="宋体" w:eastAsia="宋体" w:cs="宋体"/>
          <w:color w:val="auto"/>
          <w:sz w:val="24"/>
          <w:szCs w:val="24"/>
          <w:highlight w:val="none"/>
        </w:rPr>
        <w:t>%。</w:t>
      </w:r>
    </w:p>
    <w:p w14:paraId="52543B3E">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 安全生产保证金缴纳标准为承包工程费用的</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%，承包人同意，该款项在每月的工程验工计价中扣除，扣除的款项不计利息分</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次扣完。</w:t>
      </w:r>
    </w:p>
    <w:p w14:paraId="2B9227D3">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2、发包人承诺，承包人汇付至发包人上述专用账户的安全生产保证金，专项存储，专款专用。</w:t>
      </w:r>
    </w:p>
    <w:p w14:paraId="5C3060C6">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3、发包人按本合同的约定，从承包人安全生产保证金中扣除一定金额作为违约金后，承包人应在发包人安全生产保证金补缴通知书要求期限内补足安全生产保证金。</w:t>
      </w:r>
    </w:p>
    <w:p w14:paraId="7FD56096">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4、承包人如不按期限足额缴纳安全生产保证金或补缴安全生产保证金，发包人有权从应向承包人支付的工程款中予以扣缴，直接汇付至安全生产保证金专用账户。</w:t>
      </w:r>
    </w:p>
    <w:p w14:paraId="58FA72EA">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八、安全生产奖励约定</w:t>
      </w:r>
    </w:p>
    <w:p w14:paraId="5D92A24A">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承包人在本合同约定安全生产期间，全面实现建设工程安全生产管理目标，无安全生产事故发生，并且未违反本合同约定，未被发包人发出停工整改通知单与要求支付违约金的，发包人按以下方式给予承包人安全生产奖励。</w:t>
      </w:r>
    </w:p>
    <w:p w14:paraId="7F2E8885">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奖励标准为：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。奖励金额为：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804E7BF">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九、安全生产违约责任</w:t>
      </w:r>
    </w:p>
    <w:p w14:paraId="4AA54E3D">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1、若承包人未能实现本合同约定的安全生产管理目标，发生安全生产事故的，承包人同意，发包人从安全生产保证金中扣除一定金额作为违约金。具体扣除办法以下述约定为准。承包人对此不持异议。</w:t>
      </w:r>
    </w:p>
    <w:p w14:paraId="462C6061">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在进行安全生产检查与巡查过程中，若发现承包人违反本合同约定，发包人有权从安全生产保证金中扣除一定金额作为违约金。违约金金额由发包人根据承包人违约的事实、性质、情节及危害程度等因素综合计算确定，但每次违约金金额最高不超过承包人缴纳的安全生产保证金总金额。</w:t>
      </w:r>
    </w:p>
    <w:p w14:paraId="6CFE196E">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3、发包人从安全生产保证金中扣除一定金额作为违约金时，应当以书面形式通知承包人。其中：</w:t>
      </w:r>
    </w:p>
    <w:p w14:paraId="27B253BB">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（1）承包人有下列行为之一的，每次违约金金额为按本合同约定的缴纳标准缴纳的全部安全生产保证金。</w:t>
      </w:r>
    </w:p>
    <w:p w14:paraId="26E61E15">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 发生人员死亡的生产安全事故；</w:t>
      </w:r>
    </w:p>
    <w:p w14:paraId="4D1024B7">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 发生人员重伤的生产安全事故。</w:t>
      </w:r>
    </w:p>
    <w:p w14:paraId="75D6946E">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（2）承包人有下列行为之一的，每次违约金金额为按本合同约定的缴纳标准缴纳的安全生产保证金的15%。</w:t>
      </w:r>
    </w:p>
    <w:p w14:paraId="2FBC4F55">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 发生人员轻伤的生产安全事故累计超过三次或一个月内连续发生两次；</w:t>
      </w:r>
    </w:p>
    <w:p w14:paraId="75516BF3">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 发生2万元以上的机械、设备、交通和火灾生产安全事故。</w:t>
      </w:r>
    </w:p>
    <w:p w14:paraId="2FD39318">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4、发包人按本合同约定从安全生产保证金中扣除一定金额作为违约金，并不能免除承包人应承担的有关国家机关行政处罚与民事赔偿责任，以及应负的其他法律责任。</w:t>
      </w:r>
    </w:p>
    <w:p w14:paraId="208CAF62">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十、安全生产保证金返还约定</w:t>
      </w:r>
    </w:p>
    <w:p w14:paraId="4683B6CA">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建设工程竣工验收合格移交发包人后，发包人在结清奖励，扣除违约金金额后，若承包人缴纳的安全生产保证金有剩余，则发包人应将剩余安全生产保证金（不计利息）返还承包人。</w:t>
      </w:r>
    </w:p>
    <w:p w14:paraId="4C01A4ED">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十一、附则</w:t>
      </w:r>
    </w:p>
    <w:p w14:paraId="32B9B238">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1、本合同约定的发包人权利义务，除收款权利、付款义务、发生违约行为时的责任费用支付义务及诉权由发包人行使。</w:t>
      </w:r>
    </w:p>
    <w:p w14:paraId="4D9F157B">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2、本合同所称安全生产保证金是指安全生产风险抵押金。</w:t>
      </w:r>
    </w:p>
    <w:p w14:paraId="4778332A">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3、本合同与双方签订的工程施工合同具有同等法律效力。工程施工合同中没有约定或约定与本合同冲突的，均以本合同约定为准。</w:t>
      </w:r>
    </w:p>
    <w:p w14:paraId="5678DAE4">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4、本合同自双方签字盖章或盖章后即生效。</w:t>
      </w:r>
    </w:p>
    <w:p w14:paraId="6FA179F5">
      <w:pPr>
        <w:keepNext w:val="0"/>
        <w:keepLines w:val="0"/>
        <w:pageBreakBefore w:val="0"/>
        <w:kinsoku/>
        <w:wordWrap/>
        <w:overflowPunct/>
        <w:topLinePunct w:val="0"/>
        <w:bidi w:val="0"/>
        <w:spacing w:after="120" w:line="360" w:lineRule="auto"/>
        <w:ind w:left="420" w:leftChars="20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本工程施工安全生产合同书为施工合同的附件，由施工合同发包人、承包人双方共同签订。</w:t>
      </w:r>
    </w:p>
    <w:p w14:paraId="54015BCD">
      <w:pPr>
        <w:keepNext w:val="0"/>
        <w:keepLines w:val="0"/>
        <w:pageBreakBefore w:val="0"/>
        <w:widowControl/>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p>
    <w:p w14:paraId="387C7241">
      <w:pPr>
        <w:keepNext w:val="0"/>
        <w:keepLines w:val="0"/>
        <w:pageBreakBefore w:val="0"/>
        <w:widowControl/>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发包人（盖章）：                   承包人（盖章）：     </w:t>
      </w:r>
    </w:p>
    <w:p w14:paraId="67CAB35A">
      <w:pPr>
        <w:keepNext w:val="0"/>
        <w:keepLines w:val="0"/>
        <w:pageBreakBefore w:val="0"/>
        <w:widowControl/>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p>
    <w:p w14:paraId="3C476CD6">
      <w:pPr>
        <w:keepNext w:val="0"/>
        <w:keepLines w:val="0"/>
        <w:pageBreakBefore w:val="0"/>
        <w:widowControl/>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法定代表人或委托代理人             法定代表人或委托代理人    </w:t>
      </w:r>
    </w:p>
    <w:p w14:paraId="5B8A18C9">
      <w:pPr>
        <w:keepNext w:val="0"/>
        <w:keepLines w:val="0"/>
        <w:pageBreakBefore w:val="0"/>
        <w:widowControl/>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p>
    <w:p w14:paraId="0193A3E8">
      <w:pPr>
        <w:keepNext w:val="0"/>
        <w:keepLines w:val="0"/>
        <w:pageBreakBefore w:val="0"/>
        <w:widowControl/>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（签字）：</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（签字）：</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1406229F">
      <w:pPr>
        <w:keepNext w:val="0"/>
        <w:keepLines w:val="0"/>
        <w:pageBreakBefore w:val="0"/>
        <w:widowControl/>
        <w:kinsoku/>
        <w:wordWrap/>
        <w:overflowPunct/>
        <w:topLinePunct w:val="0"/>
        <w:bidi w:val="0"/>
        <w:spacing w:line="360" w:lineRule="auto"/>
        <w:ind w:firstLine="1200" w:firstLineChars="500"/>
        <w:textAlignment w:val="auto"/>
        <w:rPr>
          <w:rFonts w:hint="eastAsia" w:ascii="宋体" w:hAnsi="宋体" w:eastAsia="宋体" w:cs="宋体"/>
          <w:color w:val="auto"/>
          <w:kern w:val="0"/>
          <w:sz w:val="24"/>
          <w:szCs w:val="24"/>
          <w:highlight w:val="none"/>
        </w:rPr>
      </w:pPr>
    </w:p>
    <w:p w14:paraId="7BED7EE0">
      <w:pPr>
        <w:keepNext w:val="0"/>
        <w:keepLines w:val="0"/>
        <w:pageBreakBefore w:val="0"/>
        <w:widowControl/>
        <w:kinsoku/>
        <w:wordWrap/>
        <w:overflowPunct/>
        <w:topLinePunct w:val="0"/>
        <w:bidi w:val="0"/>
        <w:spacing w:line="360" w:lineRule="auto"/>
        <w:ind w:firstLine="1200" w:firstLineChars="5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年   月  日               年   月  日    </w:t>
      </w:r>
    </w:p>
    <w:p w14:paraId="632DA032">
      <w:pPr>
        <w:keepNext w:val="0"/>
        <w:keepLines w:val="0"/>
        <w:pageBreakBefore w:val="0"/>
        <w:kinsoku/>
        <w:wordWrap/>
        <w:overflowPunct/>
        <w:topLinePunct w:val="0"/>
        <w:bidi w:val="0"/>
        <w:spacing w:line="360" w:lineRule="auto"/>
        <w:textAlignment w:val="auto"/>
        <w:rPr>
          <w:rFonts w:hint="eastAsia" w:ascii="宋体" w:hAnsi="宋体"/>
          <w:color w:val="auto"/>
          <w:sz w:val="24"/>
          <w:szCs w:val="24"/>
          <w:highlight w:val="none"/>
        </w:rPr>
      </w:pPr>
      <w:r>
        <w:rPr>
          <w:rFonts w:hint="eastAsia" w:ascii="宋体" w:hAnsi="宋体"/>
          <w:color w:val="auto"/>
          <w:highlight w:val="none"/>
        </w:rPr>
        <w:br w:type="page"/>
      </w:r>
      <w:r>
        <w:rPr>
          <w:rFonts w:hint="eastAsia" w:ascii="宋体" w:hAnsi="宋体"/>
          <w:color w:val="auto"/>
          <w:sz w:val="24"/>
          <w:szCs w:val="24"/>
          <w:highlight w:val="none"/>
        </w:rPr>
        <w:t>附件9</w:t>
      </w:r>
    </w:p>
    <w:p w14:paraId="0099F888">
      <w:pPr>
        <w:keepNext w:val="0"/>
        <w:keepLines w:val="0"/>
        <w:pageBreakBefore w:val="0"/>
        <w:kinsoku/>
        <w:wordWrap/>
        <w:overflowPunct/>
        <w:topLinePunct w:val="0"/>
        <w:bidi w:val="0"/>
        <w:spacing w:line="360" w:lineRule="auto"/>
        <w:jc w:val="center"/>
        <w:textAlignment w:val="auto"/>
        <w:rPr>
          <w:rFonts w:hint="eastAsia" w:ascii="宋体" w:hAnsi="宋体"/>
          <w:b/>
          <w:bCs/>
          <w:color w:val="auto"/>
          <w:sz w:val="24"/>
          <w:szCs w:val="24"/>
          <w:highlight w:val="none"/>
        </w:rPr>
      </w:pPr>
      <w:r>
        <w:rPr>
          <w:rFonts w:hint="eastAsia" w:ascii="宋体" w:hAnsi="宋体"/>
          <w:b/>
          <w:bCs/>
          <w:color w:val="auto"/>
          <w:sz w:val="24"/>
          <w:szCs w:val="24"/>
          <w:highlight w:val="none"/>
        </w:rPr>
        <w:t>廉政承诺书</w:t>
      </w:r>
    </w:p>
    <w:p w14:paraId="3EF8F65F">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p>
    <w:p w14:paraId="6F140DE9">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为加强对本工程项目管理，预防腐败现象的发生，规范工程建设项目承包单位、发包单位及监理单位等的各项活动，防止各种谋取不正当利益的违法乱纪行为，保护国家、集体和当事人的合法权益并确保合同能够得到高效、严格的履行，建设的有关规定，</w:t>
      </w:r>
      <w:r>
        <w:rPr>
          <w:rFonts w:hint="eastAsia" w:ascii="宋体" w:hAnsi="宋体"/>
          <w:b/>
          <w:color w:val="auto"/>
          <w:kern w:val="0"/>
          <w:sz w:val="24"/>
          <w:szCs w:val="24"/>
          <w:highlight w:val="none"/>
          <w:u w:val="single"/>
          <w:lang w:eastAsia="zh-CN"/>
        </w:rPr>
        <w:t>陕西省中医医院</w:t>
      </w:r>
      <w:r>
        <w:rPr>
          <w:rFonts w:hint="eastAsia" w:ascii="宋体" w:hAnsi="宋体"/>
          <w:color w:val="auto"/>
          <w:sz w:val="24"/>
          <w:szCs w:val="24"/>
          <w:highlight w:val="none"/>
        </w:rPr>
        <w:t xml:space="preserve"> (以下简称发包人)与</w:t>
      </w:r>
      <w:r>
        <w:rPr>
          <w:rFonts w:hint="eastAsia" w:ascii="宋体" w:hAnsi="宋体"/>
          <w:color w:val="auto"/>
          <w:sz w:val="24"/>
          <w:szCs w:val="24"/>
          <w:highlight w:val="none"/>
          <w:u w:val="single"/>
        </w:rPr>
        <w:t xml:space="preserve">             </w:t>
      </w:r>
      <w:r>
        <w:rPr>
          <w:rFonts w:hint="eastAsia" w:ascii="宋体" w:hAnsi="宋体"/>
          <w:b/>
          <w:color w:val="auto"/>
          <w:kern w:val="0"/>
          <w:sz w:val="24"/>
          <w:szCs w:val="24"/>
          <w:highlight w:val="none"/>
          <w:u w:val="single"/>
        </w:rPr>
        <w:t xml:space="preserve">            </w:t>
      </w:r>
      <w:r>
        <w:rPr>
          <w:rFonts w:hint="eastAsia" w:ascii="宋体" w:hAnsi="宋体"/>
          <w:color w:val="auto"/>
          <w:sz w:val="24"/>
          <w:szCs w:val="24"/>
          <w:highlight w:val="none"/>
        </w:rPr>
        <w:t>(以下简称承包人)，特签订本廉政承诺书。</w:t>
      </w:r>
    </w:p>
    <w:p w14:paraId="18D93AD3">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第一条：甲乙双方的权利和义务</w:t>
      </w:r>
    </w:p>
    <w:p w14:paraId="077A8608">
      <w:pPr>
        <w:keepNext w:val="0"/>
        <w:keepLines w:val="0"/>
        <w:pageBreakBefore w:val="0"/>
        <w:kinsoku/>
        <w:wordWrap/>
        <w:overflowPunct/>
        <w:topLinePunct w:val="0"/>
        <w:bidi w:val="0"/>
        <w:spacing w:after="120" w:line="360" w:lineRule="auto"/>
        <w:ind w:left="420" w:leftChars="200"/>
        <w:textAlignment w:val="auto"/>
        <w:rPr>
          <w:rFonts w:hint="eastAsia" w:ascii="宋体" w:hAnsi="宋体"/>
          <w:color w:val="auto"/>
          <w:sz w:val="24"/>
          <w:szCs w:val="24"/>
          <w:highlight w:val="none"/>
        </w:rPr>
      </w:pPr>
      <w:r>
        <w:rPr>
          <w:rFonts w:hint="eastAsia" w:ascii="宋体" w:hAnsi="宋体"/>
          <w:color w:val="auto"/>
          <w:sz w:val="24"/>
          <w:szCs w:val="24"/>
          <w:highlight w:val="none"/>
        </w:rPr>
        <w:t>双方同意并声明，在业务活动中：</w:t>
      </w:r>
    </w:p>
    <w:p w14:paraId="37C217DF">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(一)严格、自觉的遵守和执行国家关于市场准入、工程建设、和市场活动的有关法律、法规、相关政策以及党和国家关于党风廉政建设的各项规定。严格执行合同文件，执行工程建设管理制度。</w:t>
      </w:r>
    </w:p>
    <w:p w14:paraId="3E66389D">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(二)双方的业务活动坚持公开、公正、诚信的原则(除法律认定的商业秘密和合同文件另有规定之外)，严格、自觉按照合同办事，不得损害国家和甲乙双方的利益。</w:t>
      </w:r>
    </w:p>
    <w:p w14:paraId="153FBE55">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23883698">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(四)倡导相互监督，发现对方在业务活动中有违反廉政规定行为的，应及时提醒对方纠正的权利和义务。发现对方违反承诺条款的，有向其上级有关部门举报并要求告知处理结果的权利。</w:t>
      </w:r>
    </w:p>
    <w:p w14:paraId="4D62459B">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(五)不以损害国家、集体或第三人利益为代价获取不正当的利益。</w:t>
      </w:r>
    </w:p>
    <w:p w14:paraId="5AA730B5">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第二条：发包人的承诺</w:t>
      </w:r>
    </w:p>
    <w:p w14:paraId="6E8AF820">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发包人工作人员在工程建设中应遵守如下规定：</w:t>
      </w:r>
    </w:p>
    <w:p w14:paraId="1FDCCCFC">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(一)不得索要或接受承包人钱物(现金、有价证券、信用卡、礼金、奖金、补贴、物品等)，不得在承包人报销任何应由发包人或个人支付的费用。</w:t>
      </w:r>
    </w:p>
    <w:p w14:paraId="26F5843C">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(二)不得接受承包人安排的可能影响公务的住宿、宴请娱乐及出国（境）、旅游观光活动；不得接受承包人提供的合同规定外的通讯工具、交通工具和高档办公用品等。</w:t>
      </w:r>
    </w:p>
    <w:p w14:paraId="1398E0CE">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(三)不得要求或者接受承包人为其及家庭成员在住房装修、婚丧嫁娶、配偶子女的工作安排及出国、出境、旅游等方面提供方便。</w:t>
      </w:r>
    </w:p>
    <w:p w14:paraId="03F3EF8C">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(四)工作人员及其配偶、子女、亲属不得从事与工程有关的材料设备供应、工程分包、劳务等经济活动。</w:t>
      </w:r>
    </w:p>
    <w:p w14:paraId="403BA2A5">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(五)不得违反规定向承包人推荐分包单位和设备、材料供应商，不得要求承包人购买合同规定外的材料和设备等。</w:t>
      </w:r>
    </w:p>
    <w:p w14:paraId="43225C3E">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(六)不得为获取承包人回扣或其他谋取私利目的而多签或多算工程量、多结工程款；不得从承包人承包的工程中收受回扣，谋取私利。</w:t>
      </w:r>
    </w:p>
    <w:p w14:paraId="4E1799D2">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(七)不得因承包人拒绝本人的不合理要求，而故意刁难承包人。</w:t>
      </w:r>
    </w:p>
    <w:p w14:paraId="2BC544A4">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(八)其它有关违反廉政规定的行为。</w:t>
      </w:r>
    </w:p>
    <w:p w14:paraId="26818CC3">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第三条：承包人的承诺</w:t>
      </w:r>
    </w:p>
    <w:p w14:paraId="4E29A419">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承包人应与发包人和监理保持正常的业务来往，按照有关法律、法规和工作程序开展业务工作并遵守以下规定：</w:t>
      </w:r>
    </w:p>
    <w:p w14:paraId="668B9571">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(一)不得以任何理由向发包人、监理单位赠送钱物(现金、有价证券、信用卡、礼金、奖金、补贴、物品等)。</w:t>
      </w:r>
    </w:p>
    <w:p w14:paraId="24AB90BB">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(二)不得以任何名义为发包人、监理单位报销应由发包人、监理单位或个人支付的任何费用。</w:t>
      </w:r>
    </w:p>
    <w:p w14:paraId="39060515">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(三)不准以任何理由为发包人、监理单位和其它相关单位及其工作人员提供有可能影响执行公务的宴请、健身和娱乐等活动。</w:t>
      </w:r>
    </w:p>
    <w:p w14:paraId="78D89C29">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(四)不得为发包人和监理单位的相关人员购置或提供合同规定外的通讯工具、交通工具和高档办公用品等。</w:t>
      </w:r>
    </w:p>
    <w:p w14:paraId="7DFBD97C">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(五)不准接受或暗示为发包人、监理单位和其它相关单位及其工作人员装修房屋、婚丧嫁娶、配偶子女的工作安排以及出国（境）、旅游观光活动提供方便。</w:t>
      </w:r>
    </w:p>
    <w:p w14:paraId="206D102D">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(六)不准利用黄、赌、贿等各种手段拉拢腐蚀发包人工作人员。</w:t>
      </w:r>
    </w:p>
    <w:p w14:paraId="43E8754A">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(七)其它有关违反廉政规定的行为。</w:t>
      </w:r>
    </w:p>
    <w:p w14:paraId="7D5F6E2E">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第四条：责任追究</w:t>
      </w:r>
    </w:p>
    <w:p w14:paraId="5B33B5F3">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一)发包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7EAF4469">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(二)承包人若违反本承诺规定，发包人有权要求承包人对责任人进行处理。情节严重的，申请相关部门禁止承包人进入工程建设市场；在新闻媒体曝光并报承包人上级或行业主管部门。</w:t>
      </w:r>
    </w:p>
    <w:p w14:paraId="6EDF2A11">
      <w:pPr>
        <w:keepNext w:val="0"/>
        <w:keepLines w:val="0"/>
        <w:pageBreakBefore w:val="0"/>
        <w:kinsoku/>
        <w:wordWrap/>
        <w:overflowPunct/>
        <w:topLinePunct w:val="0"/>
        <w:bidi w:val="0"/>
        <w:spacing w:line="360" w:lineRule="auto"/>
        <w:ind w:firstLine="470" w:firstLineChars="196"/>
        <w:textAlignment w:val="auto"/>
        <w:rPr>
          <w:rFonts w:hint="eastAsia" w:ascii="宋体" w:hAnsi="宋体"/>
          <w:bCs/>
          <w:color w:val="auto"/>
          <w:sz w:val="24"/>
          <w:szCs w:val="24"/>
          <w:highlight w:val="none"/>
        </w:rPr>
      </w:pPr>
      <w:r>
        <w:rPr>
          <w:rFonts w:hint="eastAsia" w:ascii="宋体" w:hAnsi="宋体"/>
          <w:bCs/>
          <w:color w:val="auto"/>
          <w:sz w:val="24"/>
          <w:szCs w:val="24"/>
          <w:highlight w:val="none"/>
        </w:rPr>
        <w:t>第五条：其他约定</w:t>
      </w:r>
    </w:p>
    <w:p w14:paraId="53EF36A0">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（一）本承诺书由双方单位或上级主管单位的纪检、监察部门负责监督执行。</w:t>
      </w:r>
    </w:p>
    <w:p w14:paraId="6CD13C5E">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（二）本承诺书作为工程施工合同的组成部分，双方签字盖章或盖章后即生效，有效期为双方签署之日起至该工程项目竣工验收合格并办理完毕工程结算时止。</w:t>
      </w:r>
    </w:p>
    <w:p w14:paraId="73D99104">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6D0C37B0">
      <w:pPr>
        <w:keepNext w:val="0"/>
        <w:keepLines w:val="0"/>
        <w:pageBreakBefore w:val="0"/>
        <w:kinsoku/>
        <w:wordWrap/>
        <w:overflowPunct/>
        <w:topLinePunct w:val="0"/>
        <w:bidi w:val="0"/>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5916E66B">
      <w:pPr>
        <w:keepNext w:val="0"/>
        <w:keepLines w:val="0"/>
        <w:pageBreakBefore w:val="0"/>
        <w:kinsoku/>
        <w:wordWrap/>
        <w:overflowPunct/>
        <w:topLinePunct w:val="0"/>
        <w:bidi w:val="0"/>
        <w:spacing w:after="120" w:line="360" w:lineRule="auto"/>
        <w:ind w:left="283" w:leftChars="135" w:firstLine="482"/>
        <w:textAlignment w:val="auto"/>
        <w:rPr>
          <w:rFonts w:hint="eastAsia" w:ascii="宋体" w:hAnsi="宋体"/>
          <w:color w:val="auto"/>
          <w:sz w:val="24"/>
          <w:szCs w:val="24"/>
          <w:highlight w:val="none"/>
        </w:rPr>
      </w:pPr>
      <w:r>
        <w:rPr>
          <w:rFonts w:hint="eastAsia" w:ascii="宋体" w:hAnsi="宋体"/>
          <w:color w:val="auto"/>
          <w:sz w:val="24"/>
          <w:szCs w:val="24"/>
          <w:highlight w:val="none"/>
        </w:rPr>
        <w:t>发包人：（盖章）                      承包人：（盖章）</w:t>
      </w:r>
    </w:p>
    <w:p w14:paraId="26478764">
      <w:pPr>
        <w:keepNext w:val="0"/>
        <w:keepLines w:val="0"/>
        <w:pageBreakBefore w:val="0"/>
        <w:kinsoku/>
        <w:wordWrap/>
        <w:overflowPunct/>
        <w:topLinePunct w:val="0"/>
        <w:bidi w:val="0"/>
        <w:spacing w:after="120" w:line="360" w:lineRule="auto"/>
        <w:ind w:left="283" w:leftChars="135"/>
        <w:textAlignment w:val="auto"/>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1CD8C57E">
      <w:pPr>
        <w:keepNext w:val="0"/>
        <w:keepLines w:val="0"/>
        <w:pageBreakBefore w:val="0"/>
        <w:kinsoku/>
        <w:wordWrap/>
        <w:overflowPunct/>
        <w:topLinePunct w:val="0"/>
        <w:bidi w:val="0"/>
        <w:spacing w:after="120" w:line="360" w:lineRule="auto"/>
        <w:ind w:left="283" w:leftChars="135"/>
        <w:textAlignment w:val="auto"/>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54ECD0E8">
      <w:pPr>
        <w:keepNext w:val="0"/>
        <w:keepLines w:val="0"/>
        <w:pageBreakBefore w:val="0"/>
        <w:kinsoku/>
        <w:wordWrap/>
        <w:overflowPunct/>
        <w:topLinePunct w:val="0"/>
        <w:bidi w:val="0"/>
        <w:spacing w:after="120" w:line="360" w:lineRule="auto"/>
        <w:ind w:left="283" w:leftChars="135"/>
        <w:textAlignment w:val="auto"/>
        <w:rPr>
          <w:rFonts w:hint="eastAsia" w:ascii="宋体" w:hAnsi="宋体"/>
          <w:color w:val="auto"/>
          <w:sz w:val="24"/>
          <w:szCs w:val="24"/>
          <w:highlight w:val="none"/>
        </w:rPr>
      </w:pPr>
      <w:r>
        <w:rPr>
          <w:rFonts w:hint="eastAsia" w:ascii="宋体" w:hAnsi="宋体"/>
          <w:color w:val="auto"/>
          <w:sz w:val="24"/>
          <w:szCs w:val="24"/>
          <w:highlight w:val="none"/>
        </w:rPr>
        <w:t>法定代表人（或委托代理人）：          法定代表人（或委托代理人）：</w:t>
      </w:r>
    </w:p>
    <w:p w14:paraId="091A9387">
      <w:pPr>
        <w:keepNext w:val="0"/>
        <w:keepLines w:val="0"/>
        <w:pageBreakBefore w:val="0"/>
        <w:kinsoku/>
        <w:wordWrap/>
        <w:overflowPunct/>
        <w:topLinePunct w:val="0"/>
        <w:bidi w:val="0"/>
        <w:spacing w:line="360" w:lineRule="auto"/>
        <w:ind w:left="283" w:leftChars="135"/>
        <w:textAlignment w:val="auto"/>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17DF70E4">
      <w:pPr>
        <w:keepNext w:val="0"/>
        <w:keepLines w:val="0"/>
        <w:pageBreakBefore w:val="0"/>
        <w:kinsoku/>
        <w:wordWrap/>
        <w:overflowPunct/>
        <w:topLinePunct w:val="0"/>
        <w:bidi w:val="0"/>
        <w:spacing w:line="360" w:lineRule="auto"/>
        <w:ind w:left="283" w:leftChars="135"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监督电话：                            监督电话：</w:t>
      </w:r>
    </w:p>
    <w:p w14:paraId="29F97134">
      <w:pPr>
        <w:keepNext w:val="0"/>
        <w:keepLines w:val="0"/>
        <w:pageBreakBefore w:val="0"/>
        <w:kinsoku/>
        <w:wordWrap/>
        <w:overflowPunct/>
        <w:topLinePunct w:val="0"/>
        <w:bidi w:val="0"/>
        <w:spacing w:line="360" w:lineRule="auto"/>
        <w:textAlignment w:val="auto"/>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008D39E5">
      <w:pPr>
        <w:keepNext w:val="0"/>
        <w:keepLines w:val="0"/>
        <w:pageBreakBefore w:val="0"/>
        <w:kinsoku/>
        <w:wordWrap/>
        <w:overflowPunct/>
        <w:topLinePunct w:val="0"/>
        <w:bidi w:val="0"/>
        <w:spacing w:line="360" w:lineRule="auto"/>
        <w:ind w:left="7436" w:leftChars="435" w:hanging="6523" w:hangingChars="2718"/>
        <w:textAlignment w:val="auto"/>
        <w:rPr>
          <w:rFonts w:hint="eastAsia" w:ascii="宋体" w:hAnsi="宋体"/>
          <w:bCs/>
          <w:color w:val="auto"/>
          <w:kern w:val="0"/>
          <w:sz w:val="24"/>
          <w:szCs w:val="24"/>
          <w:highlight w:val="none"/>
        </w:rPr>
      </w:pPr>
      <w:r>
        <w:rPr>
          <w:rFonts w:hint="eastAsia" w:ascii="宋体" w:hAnsi="宋体"/>
          <w:color w:val="auto"/>
          <w:kern w:val="0"/>
          <w:sz w:val="24"/>
          <w:szCs w:val="24"/>
          <w:highlight w:val="none"/>
        </w:rPr>
        <w:t xml:space="preserve">年   月  日         </w:t>
      </w:r>
      <w:r>
        <w:rPr>
          <w:rFonts w:hint="eastAsia" w:ascii="宋体" w:hAnsi="宋体"/>
          <w:color w:val="auto"/>
          <w:sz w:val="24"/>
          <w:szCs w:val="24"/>
          <w:highlight w:val="none"/>
        </w:rPr>
        <w:t xml:space="preserve">                    </w:t>
      </w:r>
      <w:r>
        <w:rPr>
          <w:rFonts w:hint="eastAsia" w:ascii="宋体" w:hAnsi="宋体"/>
          <w:color w:val="auto"/>
          <w:kern w:val="0"/>
          <w:sz w:val="24"/>
          <w:szCs w:val="24"/>
          <w:highlight w:val="none"/>
        </w:rPr>
        <w:t xml:space="preserve">年   月  日      </w:t>
      </w:r>
    </w:p>
    <w:p w14:paraId="2B64A50A">
      <w:pPr>
        <w:keepNext w:val="0"/>
        <w:keepLines w:val="0"/>
        <w:pageBreakBefore w:val="0"/>
        <w:kinsoku/>
        <w:wordWrap/>
        <w:overflowPunct/>
        <w:topLinePunct w:val="0"/>
        <w:bidi w:val="0"/>
        <w:spacing w:line="360" w:lineRule="auto"/>
        <w:textAlignment w:val="auto"/>
        <w:rPr>
          <w:color w:val="auto"/>
          <w:highlight w:val="none"/>
        </w:rPr>
      </w:pPr>
    </w:p>
    <w:p w14:paraId="21742593">
      <w:pPr>
        <w:pStyle w:val="10"/>
        <w:keepNext w:val="0"/>
        <w:keepLines w:val="0"/>
        <w:pageBreakBefore w:val="0"/>
        <w:widowControl/>
        <w:kinsoku/>
        <w:wordWrap/>
        <w:overflowPunct/>
        <w:topLinePunct w:val="0"/>
        <w:autoSpaceDE/>
        <w:autoSpaceDN/>
        <w:bidi w:val="0"/>
        <w:adjustRightInd w:val="0"/>
        <w:snapToGrid w:val="0"/>
        <w:spacing w:line="360" w:lineRule="auto"/>
        <w:rPr>
          <w:rFonts w:hint="eastAsia" w:ascii="宋体" w:hAnsi="宋体" w:eastAsia="宋体" w:cs="宋体"/>
          <w:color w:val="auto"/>
          <w:sz w:val="24"/>
          <w:szCs w:val="24"/>
          <w:highlight w:val="none"/>
          <w:lang w:val="en-US" w:eastAsia="zh-Hans"/>
        </w:rPr>
      </w:pPr>
    </w:p>
    <w:p w14:paraId="52F59F6B">
      <w:pPr>
        <w:rPr>
          <w:color w:val="auto"/>
          <w:highlight w:val="none"/>
        </w:rPr>
      </w:pPr>
    </w:p>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EE4A7">
    <w:pPr>
      <w:pStyle w:val="6"/>
      <w:rPr>
        <w:rFonts w:cs="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6B0C2C">
                          <w:pPr>
                            <w:pStyle w:val="6"/>
                          </w:pPr>
                          <w:r>
                            <w:fldChar w:fldCharType="begin"/>
                          </w:r>
                          <w:r>
                            <w:instrText xml:space="preserve"> PAGE  \* MERGEFORMAT </w:instrText>
                          </w:r>
                          <w:r>
                            <w:fldChar w:fldCharType="separate"/>
                          </w:r>
                          <w:r>
                            <w:t>72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556B0C2C">
                    <w:pPr>
                      <w:pStyle w:val="6"/>
                    </w:pPr>
                    <w:r>
                      <w:fldChar w:fldCharType="begin"/>
                    </w:r>
                    <w:r>
                      <w:instrText xml:space="preserve"> PAGE  \* MERGEFORMAT </w:instrText>
                    </w:r>
                    <w:r>
                      <w:fldChar w:fldCharType="separate"/>
                    </w:r>
                    <w:r>
                      <w:t>72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72AE7">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D8592C"/>
    <w:rsid w:val="7BD85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pPr>
    <w:rPr>
      <w:rFonts w:ascii="Times New Roman" w:eastAsia="宋?"/>
      <w:sz w:val="21"/>
      <w:szCs w:val="24"/>
    </w:rPr>
  </w:style>
  <w:style w:type="paragraph" w:styleId="3">
    <w:name w:val="Body Text Indent"/>
    <w:basedOn w:val="1"/>
    <w:unhideWhenUsed/>
    <w:qFormat/>
    <w:uiPriority w:val="99"/>
    <w:pPr>
      <w:spacing w:after="120"/>
      <w:ind w:left="420" w:leftChars="200"/>
    </w:pPr>
  </w:style>
  <w:style w:type="paragraph" w:styleId="4">
    <w:name w:val="Body Text"/>
    <w:basedOn w:val="1"/>
    <w:next w:val="1"/>
    <w:qFormat/>
    <w:uiPriority w:val="99"/>
    <w:pPr>
      <w:spacing w:after="120"/>
    </w:pPr>
    <w:rPr>
      <w:szCs w:val="24"/>
    </w:rPr>
  </w:style>
  <w:style w:type="paragraph" w:styleId="5">
    <w:name w:val="Block Text"/>
    <w:basedOn w:val="1"/>
    <w:unhideWhenUsed/>
    <w:qFormat/>
    <w:uiPriority w:val="99"/>
    <w:pPr>
      <w:spacing w:before="100" w:beforeAutospacing="1" w:after="100" w:afterAutospacing="1"/>
      <w:ind w:left="-359" w:leftChars="-171" w:right="-296" w:firstLine="560"/>
    </w:pPr>
    <w:rPr>
      <w:sz w:val="28"/>
      <w:szCs w:val="28"/>
    </w:rPr>
  </w:style>
  <w:style w:type="paragraph" w:styleId="6">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2025-05-28T10:42:00Z</dcterms:created>
  <dc:creator>　　　　　　　　</dc:creator>
  <cp:lastModifiedBy>　　　　　　　　</cp:lastModifiedBy>
  <dcterms:modified xsi:type="dcterms:W3CDTF">2025-05-28T10:42:43Z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D5F68474939B427EB7AFB35184B71D24_11</vt:lpwstr>
  </property>
  <property fmtid="{D5CDD505-2E9C-101B-9397-08002B2CF9AE}" pid="4" name="KSOTemplateDocerSaveRecord">
    <vt:lpwstr>eyJoZGlkIjoiNDUwYWVjMTIwNWQ0MzEzNWYzZDdmZTRkNzk5NjUyOTIiLCJ1c2VySWQiOiIzMTE3MjAwMTYifQ==</vt:lpwstr>
  </property>
</Properties>
</file>