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版本号：CRQ-ZB25041120250606003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检验科改造装修工程项目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CRQ-ZB250411</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陕西承瑞祺项目管理咨询有限公司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陕西承瑞祺项目管理咨询有限公司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检验科改造装修工程项目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CRQ-ZB250411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检验科改造装修工程项目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检验科改造装修工程项目，改造面积约1030㎡，工程内容包含给排水、暖通、电气、消防、装饰等专业等及配套设施设备，具体详见本项目竞争性磋商文件、工程量清单、图纸、答疑文件中所涵盖采购的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1、主体资格：供应商为向采购人提供工程及相应服务的法人或其他组织；</w:t>
      </w:r>
    </w:p>
    <w:p>
      <w:pPr>
        <w:pStyle w:val="null3"/>
      </w:pPr>
      <w:r>
        <w:rPr>
          <w:rFonts w:ascii="仿宋_GB2312" w:hAnsi="仿宋_GB2312" w:cs="仿宋_GB2312" w:eastAsia="仿宋_GB2312"/>
        </w:rPr>
        <w:t>2、社会保障资金缴纳证明：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3、税收缴纳证明：供应商提供本单位在开标前6个月已缴纳的至少一个月纳税证明或完税证明，依法免税的单位应提供相关证明材料；</w:t>
      </w:r>
    </w:p>
    <w:p>
      <w:pPr>
        <w:pStyle w:val="null3"/>
      </w:pPr>
      <w:r>
        <w:rPr>
          <w:rFonts w:ascii="仿宋_GB2312" w:hAnsi="仿宋_GB2312" w:cs="仿宋_GB2312" w:eastAsia="仿宋_GB2312"/>
        </w:rPr>
        <w:t>4、财务状况证明：提供经会计师事务所审计的2023年或2024年的财务审计报告或在开标日期前六个月内其基本开户银行出具的资信证明；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6、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7、供应商资质要求：供应商须具备建设行政主管部门颁发的【建筑工程施工总承包三级】及以上资质，且具备有效的安全生产许可证；</w:t>
      </w:r>
    </w:p>
    <w:p>
      <w:pPr>
        <w:pStyle w:val="null3"/>
      </w:pPr>
      <w:r>
        <w:rPr>
          <w:rFonts w:ascii="仿宋_GB2312" w:hAnsi="仿宋_GB2312" w:cs="仿宋_GB2312" w:eastAsia="仿宋_GB2312"/>
        </w:rPr>
        <w:t>8、供应商拟派项目经理要求：供应商拟派项目经理须具备合法有效的建筑工程专业【注册建造师二级】（含）以上执业资格，同时具备有效的安全生产考核合格证书（安全B证），在本单位注册且无在建工程；</w:t>
      </w:r>
    </w:p>
    <w:p>
      <w:pPr>
        <w:pStyle w:val="null3"/>
      </w:pPr>
      <w:r>
        <w:rPr>
          <w:rFonts w:ascii="仿宋_GB2312" w:hAnsi="仿宋_GB2312" w:cs="仿宋_GB2312" w:eastAsia="仿宋_GB2312"/>
        </w:rPr>
        <w:t>9、其他要求：供应商及其拟派项目经理须在“陕西省住房和城乡建设厅”官方网站可查询；如投标人为外省进陕企业，还须同时提供“陕西省住房和城乡建设厅”官网企业库外省进陕施工企业信息首页截图；</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11、是否面向中、小企业采购：本项目为不专门面向中、小企业项目；</w:t>
      </w:r>
    </w:p>
    <w:p>
      <w:pPr>
        <w:pStyle w:val="null3"/>
      </w:pPr>
      <w:r>
        <w:rPr>
          <w:rFonts w:ascii="仿宋_GB2312" w:hAnsi="仿宋_GB2312" w:cs="仿宋_GB2312" w:eastAsia="仿宋_GB2312"/>
        </w:rPr>
        <w:t>12、联合体：本项目不接受联合体磋商。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西安市莲湖区西华门4号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陕西承瑞祺项目管理咨询有限公司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陕西省西安市高新区丈八东路1号汇鑫IBC写字楼B座24层22403号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李银杰、杨新羽、贺婷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13237119182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采购包1：3,980,900.00元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开户名称：陕西承瑞祺项目管理咨询有限公司</w:t>
            </w:r>
          </w:p>
          <w:p>
            <w:pPr>
              <w:pStyle w:val="null3"/>
            </w:pPr>
            <w:r>
              <w:rPr>
                <w:rFonts w:ascii="仿宋_GB2312" w:hAnsi="仿宋_GB2312" w:cs="仿宋_GB2312" w:eastAsia="仿宋_GB2312"/>
              </w:rPr>
              <w:t>开户银行：中国光大银行股份有限公司西安西关正街支行</w:t>
            </w:r>
          </w:p>
          <w:p>
            <w:pPr>
              <w:pStyle w:val="null3"/>
            </w:pPr>
            <w:r>
              <w:rPr>
                <w:rFonts w:ascii="仿宋_GB2312" w:hAnsi="仿宋_GB2312" w:cs="仿宋_GB2312" w:eastAsia="仿宋_GB2312"/>
              </w:rPr>
              <w:t>银行账号：52840188000070637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857号）的有关规定下浮30%向采购代理机构一次付清代理服务费。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陕西承瑞祺项目管理咨询有限公司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陕西承瑞祺项目管理咨询有限公司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陕西承瑞祺项目管理咨询有限公司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符合施工图纸、竞争性磋商文件和国家行业规范要求的质量标准。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陕西承瑞祺项目管理咨询有限公司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陕西承瑞祺项目管理咨询有限公司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陕西承瑞祺项目管理咨询有限公司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联系人：李银杰</w:t>
      </w:r>
    </w:p>
    <w:p>
      <w:pPr>
        <w:pStyle w:val="null3"/>
      </w:pPr>
      <w:r>
        <w:rPr>
          <w:rFonts w:ascii="仿宋_GB2312" w:hAnsi="仿宋_GB2312" w:cs="仿宋_GB2312" w:eastAsia="仿宋_GB2312"/>
        </w:rPr>
        <w:t>联系电话：13237119182</w:t>
      </w:r>
    </w:p>
    <w:p>
      <w:pPr>
        <w:pStyle w:val="null3"/>
      </w:pPr>
      <w:r>
        <w:rPr>
          <w:rFonts w:ascii="仿宋_GB2312" w:hAnsi="仿宋_GB2312" w:cs="仿宋_GB2312" w:eastAsia="仿宋_GB2312"/>
        </w:rPr>
        <w:t>地址：陕西省西安市高新区丈八东路1号汇鑫IBC写字楼B座24层22403号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3,980,900.00</w:t>
      </w:r>
    </w:p>
    <w:p>
      <w:pPr>
        <w:pStyle w:val="null3"/>
      </w:pPr>
      <w:r>
        <w:rPr>
          <w:rFonts w:ascii="仿宋_GB2312" w:hAnsi="仿宋_GB2312" w:cs="仿宋_GB2312" w:eastAsia="仿宋_GB2312"/>
        </w:rPr>
        <w:t>采购包最高限价（元）: 3,954,122.58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检验科改造装修工程项目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3,980,900.00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标的名称：检验科改造装修工程项目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采购包</w:t>
            </w:r>
            <w:r>
              <w:rPr>
                <w:rFonts w:ascii="仿宋_GB2312" w:hAnsi="仿宋_GB2312" w:cs="仿宋_GB2312" w:eastAsia="仿宋_GB2312"/>
                <w:sz w:val="24"/>
              </w:rPr>
              <w:t>1：</w:t>
            </w:r>
          </w:p>
          <w:p>
            <w:pPr>
              <w:pStyle w:val="null3"/>
              <w:ind w:firstLine="480"/>
            </w:pPr>
            <w:r>
              <w:rPr>
                <w:rFonts w:ascii="仿宋_GB2312" w:hAnsi="仿宋_GB2312" w:cs="仿宋_GB2312" w:eastAsia="仿宋_GB2312"/>
                <w:sz w:val="24"/>
              </w:rPr>
              <w:t>供应商报价不允许超过标的金额</w:t>
            </w:r>
          </w:p>
          <w:p>
            <w:pPr>
              <w:pStyle w:val="null3"/>
              <w:ind w:firstLine="480"/>
            </w:pPr>
            <w:r>
              <w:rPr>
                <w:rFonts w:ascii="仿宋_GB2312" w:hAnsi="仿宋_GB2312" w:cs="仿宋_GB2312" w:eastAsia="仿宋_GB2312"/>
                <w:sz w:val="24"/>
              </w:rPr>
              <w:t>（招单价的）供应商报价不允许超过标的单价</w:t>
            </w:r>
          </w:p>
          <w:p>
            <w:pPr>
              <w:pStyle w:val="null3"/>
              <w:ind w:firstLine="480"/>
            </w:pPr>
            <w:r>
              <w:rPr>
                <w:rFonts w:ascii="仿宋_GB2312" w:hAnsi="仿宋_GB2312" w:cs="仿宋_GB2312" w:eastAsia="仿宋_GB2312"/>
                <w:sz w:val="24"/>
              </w:rPr>
              <w:t>标的名称：</w:t>
            </w:r>
            <w:r>
              <w:rPr>
                <w:rFonts w:ascii="仿宋_GB2312" w:hAnsi="仿宋_GB2312" w:cs="仿宋_GB2312" w:eastAsia="仿宋_GB2312"/>
                <w:sz w:val="24"/>
              </w:rPr>
              <w:t>检验科改造装修工程项目</w:t>
            </w:r>
          </w:p>
          <w:p>
            <w:pPr>
              <w:pStyle w:val="null3"/>
              <w:ind w:firstLine="480"/>
            </w:pPr>
            <w:r>
              <w:rPr>
                <w:rFonts w:ascii="仿宋_GB2312" w:hAnsi="仿宋_GB2312" w:cs="仿宋_GB2312" w:eastAsia="仿宋_GB2312"/>
                <w:sz w:val="24"/>
                <w:color w:val="0000FF"/>
              </w:rPr>
              <w:t>（一）项目概况</w:t>
            </w:r>
          </w:p>
          <w:p>
            <w:pPr>
              <w:pStyle w:val="null3"/>
              <w:ind w:firstLine="480"/>
            </w:pPr>
            <w:r>
              <w:rPr>
                <w:rFonts w:ascii="仿宋_GB2312" w:hAnsi="仿宋_GB2312" w:cs="仿宋_GB2312" w:eastAsia="仿宋_GB2312"/>
                <w:sz w:val="24"/>
                <w:color w:val="0000FF"/>
              </w:rPr>
              <w:t xml:space="preserve">1.工程建设地点：陕西省中医医院内。  </w:t>
            </w:r>
          </w:p>
          <w:p>
            <w:pPr>
              <w:pStyle w:val="null3"/>
              <w:ind w:firstLine="480"/>
            </w:pPr>
            <w:r>
              <w:rPr>
                <w:rFonts w:ascii="仿宋_GB2312" w:hAnsi="仿宋_GB2312" w:cs="仿宋_GB2312" w:eastAsia="仿宋_GB2312"/>
                <w:sz w:val="24"/>
                <w:color w:val="0000FF"/>
              </w:rPr>
              <w:t>2.工程改造范围：</w:t>
            </w:r>
          </w:p>
          <w:p>
            <w:pPr>
              <w:pStyle w:val="null3"/>
              <w:ind w:firstLine="480"/>
            </w:pPr>
            <w:r>
              <w:rPr>
                <w:rFonts w:ascii="仿宋_GB2312" w:hAnsi="仿宋_GB2312" w:cs="仿宋_GB2312" w:eastAsia="仿宋_GB2312"/>
                <w:sz w:val="24"/>
                <w:color w:val="0000FF"/>
              </w:rPr>
              <w:t>本工程为检验科改造装修工程项目，</w:t>
            </w:r>
            <w:r>
              <w:rPr>
                <w:rFonts w:ascii="仿宋_GB2312" w:hAnsi="仿宋_GB2312" w:cs="仿宋_GB2312" w:eastAsia="仿宋_GB2312"/>
                <w:sz w:val="24"/>
                <w:color w:val="0000FF"/>
              </w:rPr>
              <w:t>改造面积约</w:t>
            </w:r>
            <w:r>
              <w:rPr>
                <w:rFonts w:ascii="仿宋_GB2312" w:hAnsi="仿宋_GB2312" w:cs="仿宋_GB2312" w:eastAsia="仿宋_GB2312"/>
                <w:sz w:val="24"/>
                <w:color w:val="0000FF"/>
              </w:rPr>
              <w:t>1030㎡，工程内容包含给排水、暖通、电气、消防、装饰等专业等及配套设施设备，具体详见本项目竞争性磋商文件、工程量清单、图纸、答疑文件中所涵盖采购的全部内容</w:t>
            </w:r>
            <w:r>
              <w:rPr>
                <w:rFonts w:ascii="仿宋_GB2312" w:hAnsi="仿宋_GB2312" w:cs="仿宋_GB2312" w:eastAsia="仿宋_GB2312"/>
                <w:sz w:val="24"/>
                <w:color w:val="0000FF"/>
              </w:rPr>
              <w:t>。还包括本工程施工过程中所需的一切附带杂项工作及所需费用。采购人要求新加的项目除外，采购人不再就已经确定的项目进行签证。</w:t>
            </w:r>
          </w:p>
          <w:p>
            <w:pPr>
              <w:pStyle w:val="null3"/>
              <w:ind w:firstLine="480"/>
            </w:pPr>
            <w:r>
              <w:rPr>
                <w:rFonts w:ascii="仿宋_GB2312" w:hAnsi="仿宋_GB2312" w:cs="仿宋_GB2312" w:eastAsia="仿宋_GB2312"/>
                <w:sz w:val="24"/>
                <w:color w:val="0000FF"/>
              </w:rPr>
              <w:t>说明：本工程施工过程中不能影响医院的正常运营，施工过程和成果必须符合国家有关工程建设标准强制性条文和国家有关部门关于工程施工方面现行的标准、规范、规程、定额、办法、示例，以及采购人提供的技术规范的文件、规定。供应商在施工过程中使用或参考上述标准、规范以外的技术标准、规范时，应征得采购人或采购人指定代表人的同意。</w:t>
            </w:r>
          </w:p>
          <w:p>
            <w:pPr>
              <w:pStyle w:val="null3"/>
              <w:ind w:firstLine="480"/>
            </w:pPr>
            <w:r>
              <w:rPr>
                <w:rFonts w:ascii="仿宋_GB2312" w:hAnsi="仿宋_GB2312" w:cs="仿宋_GB2312" w:eastAsia="仿宋_GB2312"/>
                <w:sz w:val="24"/>
                <w:color w:val="0000FF"/>
              </w:rPr>
              <w:t>各供应商应自行前往施工现场实地勘查施工区域和施工范围，认真阅读施工图纸和工程量清单、工程量清单编制说明文件，充分了解本工程和其他相关工程工作界面的衔接配合关系，知悉工程量清单中所包含的内容及其含义。</w:t>
            </w:r>
          </w:p>
          <w:p>
            <w:pPr>
              <w:pStyle w:val="null3"/>
              <w:ind w:firstLine="480"/>
            </w:pPr>
            <w:r>
              <w:rPr>
                <w:rFonts w:ascii="仿宋_GB2312" w:hAnsi="仿宋_GB2312" w:cs="仿宋_GB2312" w:eastAsia="仿宋_GB2312"/>
                <w:sz w:val="24"/>
                <w:color w:val="0000FF"/>
              </w:rPr>
              <w:t>（二）工程技术标准及要求</w:t>
            </w:r>
          </w:p>
          <w:p>
            <w:pPr>
              <w:pStyle w:val="null3"/>
              <w:ind w:firstLine="480"/>
            </w:pPr>
            <w:r>
              <w:rPr>
                <w:rFonts w:ascii="仿宋_GB2312" w:hAnsi="仿宋_GB2312" w:cs="仿宋_GB2312" w:eastAsia="仿宋_GB2312"/>
                <w:sz w:val="24"/>
                <w:color w:val="0000FF"/>
              </w:rPr>
              <w:t>1.本工程的施工过程和成果必须符合国家有关工程建设标准强制性条文和国家或有关部门关于工程施工方面现行的标准、规范、规程、定额、办法、示例，以及西安市关于工程施工方面的文件、规定。</w:t>
            </w:r>
          </w:p>
          <w:p>
            <w:pPr>
              <w:pStyle w:val="null3"/>
              <w:ind w:firstLine="480"/>
            </w:pPr>
            <w:r>
              <w:rPr>
                <w:rFonts w:ascii="仿宋_GB2312" w:hAnsi="仿宋_GB2312" w:cs="仿宋_GB2312" w:eastAsia="仿宋_GB2312"/>
                <w:sz w:val="24"/>
                <w:color w:val="0000FF"/>
              </w:rPr>
              <w:t>2.成交供应商在施工过程中使用或参考上述标准、规范以外的技术标准、规范时，应征得采购人的同意。</w:t>
            </w:r>
          </w:p>
          <w:p>
            <w:pPr>
              <w:pStyle w:val="null3"/>
              <w:ind w:firstLine="480"/>
            </w:pPr>
            <w:r>
              <w:rPr>
                <w:rFonts w:ascii="仿宋_GB2312" w:hAnsi="仿宋_GB2312" w:cs="仿宋_GB2312" w:eastAsia="仿宋_GB2312"/>
                <w:sz w:val="24"/>
                <w:color w:val="0000FF"/>
              </w:rPr>
              <w:t>3.在施工过程中，如果国家或有关部门颁布了新的技术标准或规范，则成交供应商应采用新的标准或规范进行施工。</w:t>
            </w:r>
          </w:p>
          <w:p>
            <w:pPr>
              <w:pStyle w:val="null3"/>
              <w:ind w:firstLine="480"/>
            </w:pPr>
            <w:r>
              <w:rPr>
                <w:rFonts w:ascii="仿宋_GB2312" w:hAnsi="仿宋_GB2312" w:cs="仿宋_GB2312" w:eastAsia="仿宋_GB2312"/>
                <w:sz w:val="24"/>
                <w:color w:val="0000FF"/>
              </w:rPr>
              <w:t>4.采购人提供工程的施工图纸和相关技术文件，是采购人现有的能被供应商利用的资料，采购人对供应商做出的任何推论、理解均不负责任。</w:t>
            </w:r>
          </w:p>
          <w:p>
            <w:pPr>
              <w:pStyle w:val="null3"/>
              <w:ind w:firstLine="480"/>
            </w:pPr>
            <w:r>
              <w:rPr>
                <w:rFonts w:ascii="仿宋_GB2312" w:hAnsi="仿宋_GB2312" w:cs="仿宋_GB2312" w:eastAsia="仿宋_GB2312"/>
                <w:sz w:val="24"/>
                <w:color w:val="0000FF"/>
              </w:rPr>
              <w:t>5.本项目不组织统一踏勘现场，各供应商可自行前往项目所在地进行踏勘。过程中所产生的任何费用及安全问题由供应商自行承担。不论供应商是否踏勘，与本项目实施的所有因素、细节由供应商自行考虑并承担相关不利风险，任何因忽视或误解工地情况而导致的索赔或工期延长申请将不获批准。</w:t>
            </w:r>
          </w:p>
          <w:p>
            <w:pPr>
              <w:pStyle w:val="null3"/>
              <w:ind w:firstLine="480"/>
            </w:pPr>
            <w:r>
              <w:rPr>
                <w:rFonts w:ascii="仿宋_GB2312" w:hAnsi="仿宋_GB2312" w:cs="仿宋_GB2312" w:eastAsia="仿宋_GB2312"/>
                <w:sz w:val="24"/>
                <w:color w:val="0000FF"/>
              </w:rPr>
              <w:t>6.本项目中的室内装饰装修改造工程内容，成交供应商应当采用甲醛清除技术，结合环保型的甲醛清除剂，确保清除效果达到最佳。</w:t>
            </w:r>
          </w:p>
          <w:p>
            <w:pPr>
              <w:pStyle w:val="null3"/>
              <w:ind w:firstLine="480"/>
            </w:pPr>
            <w:r>
              <w:rPr>
                <w:rFonts w:ascii="仿宋_GB2312" w:hAnsi="仿宋_GB2312" w:cs="仿宋_GB2312" w:eastAsia="仿宋_GB2312"/>
                <w:sz w:val="24"/>
                <w:color w:val="0000FF"/>
              </w:rPr>
              <w:t>6.1成交供应商须对施工现场进行全面检查，确定甲醛污染源头，并针对性地制定清除方案。对于定制柜、地板、墙面等易产生甲醛污染的材料，成交供应商应采用专业的甲醛清除剂进行喷洒处理，同时加强通风换气，促进甲醛挥发。</w:t>
            </w:r>
          </w:p>
          <w:p>
            <w:pPr>
              <w:pStyle w:val="null3"/>
              <w:ind w:firstLine="480"/>
            </w:pPr>
            <w:r>
              <w:rPr>
                <w:rFonts w:ascii="仿宋_GB2312" w:hAnsi="仿宋_GB2312" w:cs="仿宋_GB2312" w:eastAsia="仿宋_GB2312"/>
                <w:sz w:val="24"/>
                <w:color w:val="0000FF"/>
              </w:rPr>
              <w:t>6.2成交供应商须对施工过程进行全程监控，确保甲醛清除工作落实到位。在清除过程中，成交供应商须定期检测室内甲醛含量，确保清除效果符合要求。如发现清除效果不佳或存在其他问题，成交供应商应及时调整清除方案，确保施工质量和进度。</w:t>
            </w:r>
          </w:p>
          <w:p>
            <w:pPr>
              <w:pStyle w:val="null3"/>
              <w:ind w:firstLine="480"/>
            </w:pPr>
            <w:r>
              <w:rPr>
                <w:rFonts w:ascii="仿宋_GB2312" w:hAnsi="仿宋_GB2312" w:cs="仿宋_GB2312" w:eastAsia="仿宋_GB2312"/>
                <w:sz w:val="24"/>
                <w:color w:val="0000FF"/>
              </w:rPr>
              <w:t>6.3成交供应商在完成全部施工内容后，必须严格按照国家相关标准清除甲醛，并通过对室内空气污染的测试，并出具相应检测合格报告，如检测结果不符合要求，成交供应商须继续进行清除工作，直至达到完全满足出具相应甲醛检测合格的报告为止，因此项工作内容产生的相关费用均由供应商综合考虑计入报价内，采购人后续不因此增加费用。</w:t>
            </w:r>
          </w:p>
          <w:p>
            <w:pPr>
              <w:pStyle w:val="null3"/>
              <w:ind w:firstLine="480"/>
            </w:pPr>
            <w:r>
              <w:rPr>
                <w:rFonts w:ascii="仿宋_GB2312" w:hAnsi="仿宋_GB2312" w:cs="仿宋_GB2312" w:eastAsia="仿宋_GB2312"/>
                <w:sz w:val="24"/>
                <w:color w:val="0000FF"/>
              </w:rPr>
              <w:t>7.针对医院施工过程中可能产生的扰民问题，成交供应商须严格按照以下内容实施，以确保施工对周边环境、居民和医患的影响最小化：</w:t>
            </w:r>
          </w:p>
          <w:p>
            <w:pPr>
              <w:pStyle w:val="null3"/>
              <w:ind w:firstLine="480"/>
            </w:pPr>
            <w:r>
              <w:rPr>
                <w:rFonts w:ascii="仿宋_GB2312" w:hAnsi="仿宋_GB2312" w:cs="仿宋_GB2312" w:eastAsia="仿宋_GB2312"/>
                <w:sz w:val="24"/>
                <w:color w:val="0000FF"/>
              </w:rPr>
              <w:t>7.1成交供应商须合理控制施工时间，避免在居民休息和医患时间或早晚高峰期进行施工，减少对周围居民和医患的打扰。</w:t>
            </w:r>
          </w:p>
          <w:p>
            <w:pPr>
              <w:pStyle w:val="null3"/>
              <w:ind w:firstLine="480"/>
            </w:pPr>
            <w:r>
              <w:rPr>
                <w:rFonts w:ascii="仿宋_GB2312" w:hAnsi="仿宋_GB2312" w:cs="仿宋_GB2312" w:eastAsia="仿宋_GB2312"/>
                <w:sz w:val="24"/>
                <w:color w:val="0000FF"/>
              </w:rPr>
              <w:t>7.2成交供应商须选择符合环保标准的施工设备，并对其进行相应调整。如加装噪音减少设备，或调整施工设备的使用方式，以减少噪声污染。</w:t>
            </w:r>
          </w:p>
          <w:p>
            <w:pPr>
              <w:pStyle w:val="null3"/>
              <w:ind w:firstLine="480"/>
            </w:pPr>
            <w:r>
              <w:rPr>
                <w:rFonts w:ascii="仿宋_GB2312" w:hAnsi="仿宋_GB2312" w:cs="仿宋_GB2312" w:eastAsia="仿宋_GB2312"/>
                <w:sz w:val="24"/>
                <w:color w:val="0000FF"/>
              </w:rPr>
              <w:t>7.3 成交供应商须对医院周围的工程施工区域进行隔音处理，如建造隔音墙或安装隔音设施，以阻止噪声传播，减少噪声对医院内部的影响。</w:t>
            </w:r>
          </w:p>
          <w:p>
            <w:pPr>
              <w:pStyle w:val="null3"/>
              <w:ind w:firstLine="480"/>
            </w:pPr>
            <w:r>
              <w:rPr>
                <w:rFonts w:ascii="仿宋_GB2312" w:hAnsi="仿宋_GB2312" w:cs="仿宋_GB2312" w:eastAsia="仿宋_GB2312"/>
                <w:sz w:val="24"/>
                <w:color w:val="0000FF"/>
              </w:rPr>
              <w:t>7.4 成交供应商须对施工产生的废弃物进行分类处理，做到垃圾分类和合理利用，减少环境污染，建筑垃圾严禁放入生活垃圾区域，按照相关要求妥善处理。</w:t>
            </w:r>
          </w:p>
          <w:p>
            <w:pPr>
              <w:pStyle w:val="null3"/>
              <w:ind w:firstLine="480"/>
            </w:pPr>
            <w:r>
              <w:rPr>
                <w:rFonts w:ascii="仿宋_GB2312" w:hAnsi="仿宋_GB2312" w:cs="仿宋_GB2312" w:eastAsia="仿宋_GB2312"/>
                <w:sz w:val="24"/>
                <w:color w:val="0000FF"/>
              </w:rPr>
              <w:t>7.5成交供应商须设置有效的防尘措施，确保扬尘污染的最小化，保护周围环境和居民的健康。</w:t>
            </w:r>
          </w:p>
          <w:p>
            <w:pPr>
              <w:pStyle w:val="null3"/>
              <w:ind w:firstLine="480"/>
            </w:pPr>
            <w:r>
              <w:rPr>
                <w:rFonts w:ascii="仿宋_GB2312" w:hAnsi="仿宋_GB2312" w:cs="仿宋_GB2312" w:eastAsia="仿宋_GB2312"/>
                <w:sz w:val="24"/>
                <w:color w:val="0000FF"/>
              </w:rPr>
              <w:t>7.6成交供应商须设置有效的施工围挡，将施工区域与周围居民区隔开来，减少施工噪音的传播。</w:t>
            </w:r>
          </w:p>
          <w:p>
            <w:pPr>
              <w:pStyle w:val="null3"/>
              <w:ind w:firstLine="480"/>
            </w:pPr>
            <w:r>
              <w:rPr>
                <w:rFonts w:ascii="仿宋_GB2312" w:hAnsi="仿宋_GB2312" w:cs="仿宋_GB2312" w:eastAsia="仿宋_GB2312"/>
                <w:sz w:val="24"/>
                <w:color w:val="0000FF"/>
              </w:rPr>
              <w:t>7.7成交供应商须加强对施工现场的管理，确保施工人员遵守相关规定，施工秩序井然，减少对周围居民和医患的干扰，严禁发生成交供应商的管理人员或施工人员与施工现场的居民或医患发生争执、斗殴、辱骂等事件。</w:t>
            </w:r>
          </w:p>
          <w:p>
            <w:pPr>
              <w:pStyle w:val="null3"/>
              <w:ind w:firstLine="480"/>
            </w:pPr>
            <w:r>
              <w:rPr>
                <w:rFonts w:ascii="仿宋_GB2312" w:hAnsi="仿宋_GB2312" w:cs="仿宋_GB2312" w:eastAsia="仿宋_GB2312"/>
                <w:sz w:val="24"/>
                <w:color w:val="0000FF"/>
              </w:rPr>
              <w:t>8.本项目无暂列金。</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民法典》、《中华人民共和国建筑法》、《建设工程质量管理条例》、《建设工程安全生产管理条例》、《建筑与市政工程施工质量控制通用规范》、《建筑工程质量保修办法》及陕西省的地方法规、政策性文件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（1）工期：90个日历天。 （2）工程质量：合格（达到国家强制性合格标准）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一、采用固定综合单价合同（以成交供应商一次磋商报价中的各项单价进行组价×（1-下浮率）据实结算，下浮率=[（一次磋商报价-最后磋商报价）/一次磋商报价]*100%。按下浮后的单价作为最终固定综合单价） 供应商在首次提交的响应文件中的报价（即首次报价）应按竞争性磋商文件及工程量清单编制要求，逐一列出报价的构成及明细，并提供已标价工程量清单。 二、本项目付款方式为： 在签订工程总承包合同后10天内按签约合同总价（包含安全文明施工费，须在开工前一次性足额付给承包人）的10％拨付。 预付款支付期限：在签订承包合同后10天内。 预付款扣回的方式：工程开工后，从每月的工程进度款中扣回，至进度款60%时全部扣回。支付月工程进度款时承包人应提供工程发票。 预付款担保 承包人提交预付款担保的期限：在签订承包合同后10天内。 预付款担保的形式为：在签订承包合同后10天内预付款支付前，提供等额的预付款担保。预付款担保形式可为符合国家现行政策要求的预付款担保。预付款全部扣回后，解除担保。 付款周期： 关于付款周期的约定：双方约定的工程款进度款支付的方式、时间和比例如下。 ①根据工程完成的实物工程量每月支付一次进度款（不包括设计变更及签证调增费用）。承包人于每月25日前申报当月完成的实际工程量，经发包人批准后，发包人拨付当期发包人审核通过的工程量价款的80%；累计付至合同价款的80%时暂停支付。 ②承包人完成所有的专项验收及综合验收、竣工验收且资料备案后付至合同价款的90%。 ③完成竣工结算且资料归档后支付至工程结算款的97%。 ④质量保证（保修）金为工程结算款的3%，结算付款时扣留。自验收合格之日起两年缺陷责任期满无质量问题一次性无息付清。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供应商为向采购人提供工程及相应服务的法人或其他组织；</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在开标前6个月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供应商提供本单位在开标前6个月已缴纳的至少一个月纳税证明或完税证明，依法免税的单位应提供相关证明材料；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供应商拟派项目经理须具备合法有效的建筑工程专业【注册建造师二级】（含）以上执业资格，同时具备有效的安全生产考核合格证书（安全B证），在本单位注册且无在建工程；</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供应商及其拟派项目经理须在“陕西省住房和城乡建设厅”官方网站可查询；如投标人为外省进陕企业，还须同时提供“陕西省住房和城乡建设厅”官网企业库外省进陕施工企业信息首页截图；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本项目为不专门面向中、小企业项目；</w:t>
            </w:r>
          </w:p>
        </w:tc>
        <w:tc>
          <w:tcPr>
            <w:tcW w:type="dxa" w:w="1661"/>
          </w:tcPr>
          <w:p>
            <w:pPr>
              <w:pStyle w:val="null3"/>
            </w:pPr>
            <w:r>
              <w:rPr>
                <w:rFonts w:ascii="仿宋_GB2312" w:hAnsi="仿宋_GB2312" w:cs="仿宋_GB2312" w:eastAsia="仿宋_GB2312"/>
              </w:rPr>
              <w:t>中小企业声明函 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应当与营业执照、资质证书、安全生产许可证一致，否则磋商小组应当将其响应文件作为无效处理。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应当只能有一个有效报价，否则磋商小组应当将其响应文件作为无效处理。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工期唯一</w:t>
            </w:r>
          </w:p>
        </w:tc>
        <w:tc>
          <w:tcPr>
            <w:tcW w:type="dxa" w:w="3322"/>
          </w:tcPr>
          <w:p>
            <w:pPr>
              <w:pStyle w:val="null3"/>
            </w:pPr>
            <w:r>
              <w:rPr>
                <w:rFonts w:ascii="仿宋_GB2312" w:hAnsi="仿宋_GB2312" w:cs="仿宋_GB2312" w:eastAsia="仿宋_GB2312"/>
              </w:rPr>
              <w:t>工期供应商需在项目电子化交易系统中按要求填写《响应函》、《报价函》完成承诺并进行电子签章，否则磋商小组应当将其响应文件作为无效处理。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供应商需在项目电子化交易系统中按要求填写《投标函》完成承诺并进行电子签章，否则磋商小组应当将其响应文件作为无效处理。</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响应报价应当不超过竞争性磋商文件中规定的最高限价，否则磋商小组应当将其响应文件作为无效处理。</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响应文件未含有采购人不能接受的附加条件的或其他情形，否则磋商小组应当将其响应文件作为无效处理。</w:t>
            </w:r>
          </w:p>
        </w:tc>
        <w:tc>
          <w:tcPr>
            <w:tcW w:type="dxa" w:w="1661"/>
          </w:tcPr>
          <w:p>
            <w:pPr>
              <w:pStyle w:val="null3"/>
            </w:pPr>
            <w:r>
              <w:rPr>
                <w:rFonts w:ascii="仿宋_GB2312" w:hAnsi="仿宋_GB2312" w:cs="仿宋_GB2312" w:eastAsia="仿宋_GB2312"/>
              </w:rPr>
              <w:t>技术服务合同条款及其他商务要求应答表 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响应文件未发现法律、法规和竞争性磋商文件规定的其他无效情形，否则磋商小组应当将其响应文件作为无效处理。</w:t>
            </w:r>
          </w:p>
        </w:tc>
        <w:tc>
          <w:tcPr>
            <w:tcW w:type="dxa" w:w="1661"/>
          </w:tcPr>
          <w:p>
            <w:pPr>
              <w:pStyle w:val="null3"/>
            </w:pPr>
            <w:r>
              <w:rPr>
                <w:rFonts w:ascii="仿宋_GB2312" w:hAnsi="仿宋_GB2312" w:cs="仿宋_GB2312" w:eastAsia="仿宋_GB2312"/>
              </w:rPr>
              <w:t>技术服务合同条款及其他商务要求应答表 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不同供应商不得委托同一单位或者个人办理投标事宜，否则磋商小组应当将其响应文件作为无效处理。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不同供应商的响应文件载明的项目管理成员或者联系人员是否为同一人</w:t>
            </w:r>
          </w:p>
        </w:tc>
        <w:tc>
          <w:tcPr>
            <w:tcW w:type="dxa" w:w="3322"/>
          </w:tcPr>
          <w:p>
            <w:pPr>
              <w:pStyle w:val="null3"/>
            </w:pPr>
            <w:r>
              <w:rPr>
                <w:rFonts w:ascii="仿宋_GB2312" w:hAnsi="仿宋_GB2312" w:cs="仿宋_GB2312" w:eastAsia="仿宋_GB2312"/>
              </w:rPr>
              <w:t>不同供应商的响应文件载明的项目管理成员或者联系人员不得为同一人，否则磋商小组应当将其响应文件作为无效处理。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不同供应商的磋商响应保证金是否从同单位或者个人的账户转出</w:t>
            </w:r>
          </w:p>
        </w:tc>
        <w:tc>
          <w:tcPr>
            <w:tcW w:type="dxa" w:w="3322"/>
          </w:tcPr>
          <w:p>
            <w:pPr>
              <w:pStyle w:val="null3"/>
            </w:pPr>
            <w:r>
              <w:rPr>
                <w:rFonts w:ascii="仿宋_GB2312" w:hAnsi="仿宋_GB2312" w:cs="仿宋_GB2312" w:eastAsia="仿宋_GB2312"/>
              </w:rPr>
              <w:t>不同供应商的磋商响应保证金不得从同一单位或者个人的账户转出，否则磋商小组应当将其响应文件作为无效处理。</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供应商提供自2022年5月1日至今的类似业绩证明材料，每提供1项得2分，最多得10分。 评审依据：供应商须在响应文件中附合同的扫描件或复印件并加盖单位公章，业绩时间以合同签订时间所体现的时间为准，须体现合同关键页且签字盖章齐全，合同中出现非连续页或模糊不清无法辨认的视为无效合同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拟派项目经理学历</w:t>
            </w:r>
          </w:p>
        </w:tc>
        <w:tc>
          <w:tcPr>
            <w:tcW w:type="dxa" w:w="2492"/>
          </w:tcPr>
          <w:p>
            <w:pPr>
              <w:pStyle w:val="null3"/>
            </w:pPr>
            <w:r>
              <w:rPr>
                <w:rFonts w:ascii="仿宋_GB2312" w:hAnsi="仿宋_GB2312" w:cs="仿宋_GB2312" w:eastAsia="仿宋_GB2312"/>
              </w:rPr>
              <w:t>拟派项目经理具有本科及以上学历的得5分；具有专科学历的得3分，其它情况不得分。 评审依据：评审时以申请人提供的拟派项目经理的最高学历证书扫描件或复印件并加盖申请人公章为准。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供应商应提交的相关资格证明文件.docx</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拟派项目经理具备高级及以上职称证书的得5分，中级职称证书得得3分，初级职称的得1分，其余情况不得分。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供应商应提交的相关资格证明文件.docx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提供拟派项目经理自2022年5月1日至今的类似业绩证明材料，每提供1项业绩证明材料得3分，在此基础上每增加1项业绩加2分，最高得5分，申请人提供的拟派项目经理必须在提供的业绩证明材料中担任项目经理一职）； 评审依据： 1.拟派项目经理类似项目业绩须在响应文件中附合同的扫描件或复印件并加盖单位公章； 2.供应商类似项目业绩与拟派项目经理类似业绩可重复使用。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供应商应提交的相关资格证明文件.docx</w:t>
            </w:r>
          </w:p>
        </w:tc>
      </w:tr>
      <w:tr>
        <w:tc>
          <w:tcPr>
            <w:tcW w:type="dxa" w:w="831"/>
            <w:vMerge/>
          </w:tcPr>
          <w:p/>
        </w:tc>
        <w:tc>
          <w:tcPr>
            <w:tcW w:type="dxa" w:w="1661"/>
          </w:tcPr>
          <w:p>
            <w:pPr>
              <w:pStyle w:val="null3"/>
            </w:pPr>
            <w:r>
              <w:rPr>
                <w:rFonts w:ascii="仿宋_GB2312" w:hAnsi="仿宋_GB2312" w:cs="仿宋_GB2312" w:eastAsia="仿宋_GB2312"/>
              </w:rPr>
              <w:t>拟派项目技术负责人学历</w:t>
            </w:r>
          </w:p>
        </w:tc>
        <w:tc>
          <w:tcPr>
            <w:tcW w:type="dxa" w:w="2492"/>
          </w:tcPr>
          <w:p>
            <w:pPr>
              <w:pStyle w:val="null3"/>
            </w:pPr>
            <w:r>
              <w:rPr>
                <w:rFonts w:ascii="仿宋_GB2312" w:hAnsi="仿宋_GB2312" w:cs="仿宋_GB2312" w:eastAsia="仿宋_GB2312"/>
              </w:rPr>
              <w:t>拟派项目技术负责人具有本科及以上学历的得3分；具有专科学历的得1分，其它情况不得分。 评审依据：评审时以申请人提供的拟派技术负责人的最高学历证书扫描件或复印件并加盖申请人公章为准。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拟派项目技术负责人职称</w:t>
            </w:r>
          </w:p>
        </w:tc>
        <w:tc>
          <w:tcPr>
            <w:tcW w:type="dxa" w:w="2492"/>
          </w:tcPr>
          <w:p>
            <w:pPr>
              <w:pStyle w:val="null3"/>
            </w:pPr>
            <w:r>
              <w:rPr>
                <w:rFonts w:ascii="仿宋_GB2312" w:hAnsi="仿宋_GB2312" w:cs="仿宋_GB2312" w:eastAsia="仿宋_GB2312"/>
              </w:rPr>
              <w:t>拟派项目技术负责人具备中级及以上职称证书的得2分，初级职称的得1分，其余情况不得分。 评审依据：评审时以供应商提供的加盖供应商公章的拟派项目技术负责人最高职称证书的扫描件或复印件为准，提供多个职称证明材料的，以最高职称材料为准，未提供的不得分。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拟派项目部人员</w:t>
            </w:r>
          </w:p>
        </w:tc>
        <w:tc>
          <w:tcPr>
            <w:tcW w:type="dxa" w:w="2492"/>
          </w:tcPr>
          <w:p>
            <w:pPr>
              <w:pStyle w:val="null3"/>
            </w:pPr>
            <w:r>
              <w:rPr>
                <w:rFonts w:ascii="仿宋_GB2312" w:hAnsi="仿宋_GB2312" w:cs="仿宋_GB2312" w:eastAsia="仿宋_GB2312"/>
              </w:rPr>
              <w:t>拟派项目部人员包含（除项目经理、技术负责人外）：土建相关专业人员1人、机电相关专业人员1人、电气相关专业人员1人、 给排水相关专业人员1人、暖通相关专业人员1人、造价相关专业人员1 人、安全员1人、资料员1人，满足以上全部要求的得满分8分；每少提供1名上述要求（上述要求包括人员要求、专业要求、人员数量要求以及所附材料的要求）人员的扣减1分，扣完为止。 在满足上述全部要求的基础上，每额外增加上述要求的任意1名专业人员的（除造价相关人员、安全员、资料员外）加1分，最多加2分； 评审依据：提供上述人员的身份证和相应专业职称证书或注册证书，其中安全员必须提供安全员C证； 评审时以供应商提供加盖单位公章的证明资料的复印件或扫描件为准，未按照上述要求提供相应资料的人员不予认定和赋分。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1.根据供应商针对本项目特点制定的整体施工方案进行评审： 方案科学合理、安全可行，完全满足项目要求的得3.1-5分； 方案有一定的可行性，基本能满足项目要求的得1.1-3分； 方案有较多欠缺的，无法保证使用的得0.1-1分。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2.根据供应商针对本项目制定确保工程质量的技术组织措施进行评审： 组织措施科学合理、合理性及针对性强，完全满足项目要求的得3.1-5分； 组织措施稍有欠缺，有一定的可行性，但能够满足项目需求的得1.1-3分； 组织措施有较多欠缺的，无法保证项目实施的得0.1-1分。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3.根据供应商针对本项目制定确保施工安全的技术组织措施进行评审： 组织措施科学合理、合理性及针对性强，完全满足项目要求的得3.1-5分； 组织措施稍有欠缺，有一定的可行性，但能够满足项目需求的得1.1-3分； 组织措施有较多欠缺的，无法保证项目实施的得0.1-1分。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4.根据供应商针对本项目制定造价控制措施的技术组织措施进行评审： 组织措施科学合理、合理性及针对性强，完全满足项目要求的得3.1-5分； 组织措施稍有欠缺，有一定的可行性，但能够满足项目需求的得1.1-3分； 组织措施有较多欠缺的，无法保证项目实施的得0.1-1分。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5.根据供应商针对本项目制定的施工机械设备配备投入计划进行评审： 计划科学合理、合理性及针对性强，完全满足项目要求的得3.1-5分； 计划稍有欠缺，有一定的可行性，能够满足项目需求的得1.1-3分； 计划缺失严重，无法保证项目实施的得0.1-1分；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6.根据供应商针对本项目制定的施工网络图、横道图或工期进度表进行评审： 施工网络图、横道图或工期进度表科学合理、合理性及针对性强，完全满足项目要求的得3.1-5分； 施工网络图、横道图或工期进度表稍有欠缺，有一定的可行性，但能够满足项目需求的得1.1-3分； 施工网络图、横道图或工期进度表缺项、漏项，表述混乱且无法保证项目实施的得0.1-1分；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磋商报价采用低价优先法计算，即满足竞争性磋商文件要求且最终磋商报价最低的报价为评审基准价，其价格分为满分。其他供应商的价格分统一按照下列公式计算： 磋商报价得分=（评审基准价/最终磋商报价）×30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详见附件：供应商应提交的相关资格证明文件.docx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