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版本号：SXJACG(2025)-0920250527001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陕西省泾惠渠灌区2025年度省级水利工程维修养护经费项目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SXJACG(2025)-09</w:t>
      </w:r>
      <w:r>
        <w:br/>
      </w:r>
      <w:r>
        <w:br/>
      </w:r>
      <w:r>
        <w:br/>
      </w:r>
    </w:p>
    <w:p>
      <w:pPr>
        <w:pStyle w:val="null3"/>
        <w:jc w:val="center"/>
        <w:outlineLvl w:val="2"/>
      </w:pPr>
      <w:r>
        <w:rPr>
          <w:rFonts w:ascii="仿宋_GB2312" w:hAnsi="仿宋_GB2312" w:cs="仿宋_GB2312" w:eastAsia="仿宋_GB2312"/>
          <w:sz w:val="28"/>
          <w:b/>
        </w:rPr>
        <w:t>陕西省泾惠渠灌溉中心</w:t>
      </w:r>
    </w:p>
    <w:p>
      <w:pPr>
        <w:pStyle w:val="null3"/>
        <w:jc w:val="center"/>
        <w:outlineLvl w:val="2"/>
      </w:pPr>
      <w:r>
        <w:rPr>
          <w:rFonts w:ascii="仿宋_GB2312" w:hAnsi="仿宋_GB2312" w:cs="仿宋_GB2312" w:eastAsia="仿宋_GB2312"/>
          <w:sz w:val="28"/>
          <w:b/>
        </w:rPr>
        <w:t>陕西金岸工程项目管理有限公司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陕西金岸工程项目管理有限公司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陕西省泾惠渠灌溉中心</w:t>
      </w:r>
      <w:r>
        <w:rPr>
          <w:rFonts w:ascii="仿宋_GB2312" w:hAnsi="仿宋_GB2312" w:cs="仿宋_GB2312" w:eastAsia="仿宋_GB2312"/>
        </w:rPr>
        <w:t>委托，拟对</w:t>
      </w:r>
      <w:r>
        <w:rPr>
          <w:rFonts w:ascii="仿宋_GB2312" w:hAnsi="仿宋_GB2312" w:cs="仿宋_GB2312" w:eastAsia="仿宋_GB2312"/>
        </w:rPr>
        <w:t>陕西省泾惠渠灌区2025年度省级水利工程维修养护经费项目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SXJACG(2025)-09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陕西省泾惠渠灌区2025年度省级水利工程维修养护经费项目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陕西省泾惠渠灌区2025年度省级水利工程维修养护经费项目主要建设内容为：对2座水库，2座泵站，13条干、支渠道进行全面养护。</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采购包1（陕西省泾惠渠灌区2025年度省级水利工程维修养护经费项目）：属于专门面向中小企业采购。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1、中小企业声明：本项目专门面向中小企业，投标人需在项目电子化交易系统中按要求上传中小企业声明函并进行电子签章。</w:t>
      </w:r>
    </w:p>
    <w:p>
      <w:pPr>
        <w:pStyle w:val="null3"/>
      </w:pPr>
      <w:r>
        <w:rPr>
          <w:rFonts w:ascii="仿宋_GB2312" w:hAnsi="仿宋_GB2312" w:cs="仿宋_GB2312" w:eastAsia="仿宋_GB2312"/>
        </w:rPr>
        <w:t>2、营业执照等主体资格证明文件：提供有效存续的企业营业执照（副本）/事业单位法人证书/专业服务机构执业许可证/民办非企业单位登记证书。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3、投标人应授权合法的人员参加投标：投标人应授权合法的人员参加投标，法定代表人（或单位负责人）直接参加的，须出具法定代表人（或单位负责人）身份证明及身份证，并与营业执照上信息一致；授权代表参加的，须出具法定代表人（或单位负责人）授权委托书及被授权人身份证。</w:t>
      </w:r>
    </w:p>
    <w:p>
      <w:pPr>
        <w:pStyle w:val="null3"/>
      </w:pPr>
      <w:r>
        <w:rPr>
          <w:rFonts w:ascii="仿宋_GB2312" w:hAnsi="仿宋_GB2312" w:cs="仿宋_GB2312" w:eastAsia="仿宋_GB2312"/>
        </w:rPr>
        <w:t>4、财务报告：提供2024年度的财务报告（至少包括财务报告、资产负债表、利润表（或损益表）、现金流量表，成立时间至递交响应文件截止时间不足一年的可提供成立后任意时段的资产负债表），或其开标前三个月内基本存款账户开户银行出具的资信证明及基本存款账户开户信息，其他组织和自然人提供银行出具的资信证明或财务报表。</w:t>
      </w:r>
    </w:p>
    <w:p>
      <w:pPr>
        <w:pStyle w:val="null3"/>
      </w:pPr>
      <w:r>
        <w:rPr>
          <w:rFonts w:ascii="仿宋_GB2312" w:hAnsi="仿宋_GB2312" w:cs="仿宋_GB2312" w:eastAsia="仿宋_GB2312"/>
        </w:rPr>
        <w:t>5、税收缴纳证明：提供投标文件递交截止时间前六个月内任意一月已缴纳的纳税证明或完税证明，依法免税的投标人应提供相关证明文件。</w:t>
      </w:r>
    </w:p>
    <w:p>
      <w:pPr>
        <w:pStyle w:val="null3"/>
      </w:pPr>
      <w:r>
        <w:rPr>
          <w:rFonts w:ascii="仿宋_GB2312" w:hAnsi="仿宋_GB2312" w:cs="仿宋_GB2312" w:eastAsia="仿宋_GB2312"/>
        </w:rPr>
        <w:t>6、社保缴纳证明：提供投标文件递交截止时间前六个月内任意一月已缴存的社会保障资金缴费证明或参保证明，依法不需要缴纳社会保障资金的投标人应提供相关证明文件。</w:t>
      </w:r>
    </w:p>
    <w:p>
      <w:pPr>
        <w:pStyle w:val="null3"/>
      </w:pPr>
      <w:r>
        <w:rPr>
          <w:rFonts w:ascii="仿宋_GB2312" w:hAnsi="仿宋_GB2312" w:cs="仿宋_GB2312" w:eastAsia="仿宋_GB2312"/>
        </w:rPr>
        <w:t>7、投标人资质条件：投标人须具备水利水电工程施工总承包三级（含三级）以上资质，建设行政主管部门颁发的有效的安全生产许可证。</w:t>
      </w:r>
    </w:p>
    <w:p>
      <w:pPr>
        <w:pStyle w:val="null3"/>
      </w:pPr>
      <w:r>
        <w:rPr>
          <w:rFonts w:ascii="仿宋_GB2312" w:hAnsi="仿宋_GB2312" w:cs="仿宋_GB2312" w:eastAsia="仿宋_GB2312"/>
        </w:rPr>
        <w:t>8、拟派项目经理：投标人拟派项目经理须为本单位注册人员，持有水利水电工程二级（含二级）以上注册建造师证书，具有水行政主管部门颁发的安全生产考核合格证，且无在建项目（提供无在建项目承诺书）。</w:t>
      </w:r>
    </w:p>
    <w:p>
      <w:pPr>
        <w:pStyle w:val="null3"/>
      </w:pPr>
      <w:r>
        <w:rPr>
          <w:rFonts w:ascii="仿宋_GB2312" w:hAnsi="仿宋_GB2312" w:cs="仿宋_GB2312" w:eastAsia="仿宋_GB2312"/>
        </w:rPr>
        <w:t>9、企业负责人、专职安全员：企业负责人、专职安全员须具有水行政主管部门颁发的安全生产考核合格证。</w:t>
      </w:r>
    </w:p>
    <w:p>
      <w:pPr>
        <w:pStyle w:val="null3"/>
      </w:pPr>
      <w:r>
        <w:rPr>
          <w:rFonts w:ascii="仿宋_GB2312" w:hAnsi="仿宋_GB2312" w:cs="仿宋_GB2312" w:eastAsia="仿宋_GB2312"/>
        </w:rPr>
        <w:t>10、无重大违法记录：参加政府采购活动前3年内，在经营活动中没有重大违法记录的书面声明。</w:t>
      </w:r>
    </w:p>
    <w:p>
      <w:pPr>
        <w:pStyle w:val="null3"/>
      </w:pPr>
      <w:r>
        <w:rPr>
          <w:rFonts w:ascii="仿宋_GB2312" w:hAnsi="仿宋_GB2312" w:cs="仿宋_GB2312" w:eastAsia="仿宋_GB2312"/>
        </w:rPr>
        <w:t>11、具有履行合同所必需的设备和专业技术能力：具有履行合同所必需的设备和专业技术能力，提供承诺书。</w:t>
      </w:r>
    </w:p>
    <w:p>
      <w:pPr>
        <w:pStyle w:val="null3"/>
      </w:pPr>
      <w:r>
        <w:rPr>
          <w:rFonts w:ascii="仿宋_GB2312" w:hAnsi="仿宋_GB2312" w:cs="仿宋_GB2312" w:eastAsia="仿宋_GB2312"/>
        </w:rPr>
        <w:t>12、信用查询：投标人不得为“信用中国”网站（www.creditchina.gov.cn）中列入重大税收违法失信主体名单的投标人、不得为“中国执行信息公开网”网站（zxgk.court.gov.cn）中列入失信被执行人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13、单位负责人为同一人或者存在直接控股、管理关系的不同投标人，不得同时参加同一合同项下的政府采购活动：单位负责人为同一人或者存在直接控股、管理关系的不同投标人，不得同时参加同一合同项下的政府采购活动，提供书面声明。</w:t>
      </w:r>
    </w:p>
    <w:p>
      <w:pPr>
        <w:pStyle w:val="null3"/>
      </w:pPr>
      <w:r>
        <w:rPr>
          <w:rFonts w:ascii="仿宋_GB2312" w:hAnsi="仿宋_GB2312" w:cs="仿宋_GB2312" w:eastAsia="仿宋_GB2312"/>
        </w:rPr>
        <w:t>14、非联合体投标声明：本项目不接受联合体，提供非联合体投标声明。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陕西省泾惠渠灌溉中心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三原县宴友思大街1号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13369129266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陕西金岸工程项目管理有限公司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陕西省西咸新区沣东新城扶苏路民善雅居商业楼A座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18829359337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采购包1：15,260,000.00元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说明：履约担保的金额：合同价款的10%，合同签订前支付。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本次代理服务费参考国家计委关于印发《招标代理服务收费管理暂行办法》的通知（计价格【2002】1980号文）收费标准文件，确定共计人民币大写：陆万元整（¥60000.00元），由采购人在采购结束后一次性支付给采购代理人。</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陕西省泾惠渠灌溉中心</w:t>
      </w:r>
      <w:r>
        <w:rPr>
          <w:rFonts w:ascii="仿宋_GB2312" w:hAnsi="仿宋_GB2312" w:cs="仿宋_GB2312" w:eastAsia="仿宋_GB2312"/>
        </w:rPr>
        <w:t>和</w:t>
      </w:r>
      <w:r>
        <w:rPr>
          <w:rFonts w:ascii="仿宋_GB2312" w:hAnsi="仿宋_GB2312" w:cs="仿宋_GB2312" w:eastAsia="仿宋_GB2312"/>
        </w:rPr>
        <w:t>陕西金岸工程项目管理有限公司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陕西省泾惠渠灌溉中心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陕西金岸工程项目管理有限公司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陕西省泾惠渠灌溉中心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陕西金岸工程项目管理有限公司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合格，符合《陕西省省级水利工程维修养护标准》、《陕西省省级水利工程维修养护管理操作规程》（陕水发（2009）95号）、国家及行业现行有关技术标准。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陕西金岸工程项目管理有限公司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陕西金岸工程项目管理有限公司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陕西金岸工程项目管理有限公司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联系人：王浩</w:t>
      </w:r>
    </w:p>
    <w:p>
      <w:pPr>
        <w:pStyle w:val="null3"/>
      </w:pPr>
      <w:r>
        <w:rPr>
          <w:rFonts w:ascii="仿宋_GB2312" w:hAnsi="仿宋_GB2312" w:cs="仿宋_GB2312" w:eastAsia="仿宋_GB2312"/>
        </w:rPr>
        <w:t>联系电话：18829359337</w:t>
      </w:r>
    </w:p>
    <w:p>
      <w:pPr>
        <w:pStyle w:val="null3"/>
      </w:pPr>
      <w:r>
        <w:rPr>
          <w:rFonts w:ascii="仿宋_GB2312" w:hAnsi="仿宋_GB2312" w:cs="仿宋_GB2312" w:eastAsia="仿宋_GB2312"/>
        </w:rPr>
        <w:t>地址：陕西省西咸新区沣东新城扶苏路民善雅居商业楼A座</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陕西省泾惠渠灌区2025年度省级水利工程维修养护经费项目主要建设内容为：对2座水库，2座泵站，13条干、支渠道进行全面养护。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15,260,000.00</w:t>
      </w:r>
    </w:p>
    <w:p>
      <w:pPr>
        <w:pStyle w:val="null3"/>
      </w:pPr>
      <w:r>
        <w:rPr>
          <w:rFonts w:ascii="仿宋_GB2312" w:hAnsi="仿宋_GB2312" w:cs="仿宋_GB2312" w:eastAsia="仿宋_GB2312"/>
        </w:rPr>
        <w:t>采购包最高限价（元）: 15,257,587.00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施工标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标的名称：施工标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1、建设内容：</w:t>
            </w:r>
          </w:p>
          <w:p>
            <w:pPr>
              <w:pStyle w:val="null3"/>
            </w:pPr>
            <w:r>
              <w:rPr>
                <w:rFonts w:ascii="仿宋_GB2312" w:hAnsi="仿宋_GB2312" w:cs="仿宋_GB2312" w:eastAsia="仿宋_GB2312"/>
                <w:sz w:val="24"/>
              </w:rPr>
              <w:t>对</w:t>
            </w:r>
            <w:r>
              <w:rPr>
                <w:rFonts w:ascii="仿宋_GB2312" w:hAnsi="仿宋_GB2312" w:cs="仿宋_GB2312" w:eastAsia="仿宋_GB2312"/>
                <w:sz w:val="24"/>
              </w:rPr>
              <w:t>2座水库，2座泵站，13条干、支渠道进行全面养护。</w:t>
            </w:r>
          </w:p>
          <w:p>
            <w:pPr>
              <w:pStyle w:val="null3"/>
              <w:jc w:val="both"/>
            </w:pPr>
            <w:r>
              <w:rPr>
                <w:rFonts w:ascii="仿宋_GB2312" w:hAnsi="仿宋_GB2312" w:cs="仿宋_GB2312" w:eastAsia="仿宋_GB2312"/>
                <w:sz w:val="24"/>
              </w:rPr>
              <w:t>2、技术标准及要求：</w:t>
            </w:r>
          </w:p>
          <w:p>
            <w:pPr>
              <w:pStyle w:val="null3"/>
              <w:jc w:val="both"/>
            </w:pPr>
            <w:r>
              <w:rPr>
                <w:rFonts w:ascii="仿宋_GB2312" w:hAnsi="仿宋_GB2312" w:cs="仿宋_GB2312" w:eastAsia="仿宋_GB2312"/>
                <w:sz w:val="24"/>
              </w:rPr>
              <w:t>合格，符合《陕西省省级水利工程维修养护标准》、《陕西省省级水利工程维修养护管理操作规程》（陕水发（2009）95号）、国家及行业现行有关技术标准。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1、拟派项目经理须为本单位注册人员，持有水利水电工程二级（含二级）以上注册建造师证书，具有水行政主管部门颁发的安全生产考核合格证，且无在建项目（提供无在建项目承诺书）； 2、企业负责人、专职安全员须具有水行政主管部门颁发的安全生产考核合格证。</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自合同签订之日起至2026年5月31日完成。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泾惠渠灌区境内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符合《陕西省省级水利工程维修养护标准》、《陕西省省级水利工程维修养护管理操作规程》（陕水发（2009）95号）、国家及行业现行有关技术标准。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本项目进度款按月支付，进度款经总监审定，发包人批准可结算的当月已完合格工程投资金额的100%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投标文件正本壹份、副本贰份、电子版壹份（U盘1个，包含word及PDF格式投标文件所有内容）。 2.纸质投标文件建议A4纸双面打印，正、副本分别各自装订成册并编制目录和页码，单独密封并加盖公章。若正本和副本不符，以正本为准；若电子投标文件与纸质响应文件不一致的，以电子响应文件为准。 3.线下递交纸质投标文件截止时间：投标文件提交截止时间前； 4.线下递交文件地点：陕西省西咸新区沣东新城扶苏路民善雅居商业楼A座三楼会议室。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2024年度的财务报告（至少包括财务报告、资产负债表、利润表（或损益表）、现金流量表，成立时间至递交响应文件截止时间不足一年的可提供成立后任意时段的资产负债表），或其开标前三个月内基本存款账户开户银行出具的资信证明及基本存款账户开户信息，其他组织和自然人提供银行出具的资信证明或财务报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本项目专门面向中小企业，投标人需在项目电子化交易系统中按要求上传中小企业声明函并进行电子签章。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投标文件封面 特定资格证明材料.docx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投标人应授权合法的人员参加投标</w:t>
            </w:r>
          </w:p>
        </w:tc>
        <w:tc>
          <w:tcPr>
            <w:tcW w:type="dxa" w:w="3322"/>
          </w:tcPr>
          <w:p>
            <w:pPr>
              <w:pStyle w:val="null3"/>
            </w:pPr>
            <w:r>
              <w:rPr>
                <w:rFonts w:ascii="仿宋_GB2312" w:hAnsi="仿宋_GB2312" w:cs="仿宋_GB2312" w:eastAsia="仿宋_GB2312"/>
              </w:rPr>
              <w:t>投标人应授权合法的人员参加投标，法定代表人（或单位负责人）直接参加的，须出具法定代表人（或单位负责人）身份证明及身份证，并与营业执照上信息一致；授权代表参加的，须出具法定代表人（或单位负责人）授权委托书及被授权人身份证。</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2024年度的财务报告（至少包括财务报告、资产负债表、利润表（或损益表）、现金流量表，成立时间至递交响应文件截止时间不足一年的可提供成立后任意时段的资产负债表），或其开标前三个月内基本存款账户开户银行出具的资信证明及基本存款账户开户信息，其他组织和自然人提供银行出具的资信证明或财务报表。</w:t>
            </w:r>
          </w:p>
        </w:tc>
        <w:tc>
          <w:tcPr>
            <w:tcW w:type="dxa" w:w="1661"/>
          </w:tcPr>
          <w:p>
            <w:pPr>
              <w:pStyle w:val="null3"/>
            </w:pPr>
            <w:r>
              <w:rPr>
                <w:rFonts w:ascii="仿宋_GB2312" w:hAnsi="仿宋_GB2312" w:cs="仿宋_GB2312" w:eastAsia="仿宋_GB2312"/>
              </w:rPr>
              <w:t>特定资格证明材料.docx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提供投标文件递交截止时间前六个月内任意一月已缴纳的纳税证明或完税证明，依法免税的投标人应提供相关证明文件。</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提供投标文件递交截止时间前六个月内任意一月已缴存的社会保障资金缴费证明或参保证明，依法不需要缴纳社会保障资金的投标人应提供相关证明文件。</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投标人资质条件</w:t>
            </w:r>
          </w:p>
        </w:tc>
        <w:tc>
          <w:tcPr>
            <w:tcW w:type="dxa" w:w="3322"/>
          </w:tcPr>
          <w:p>
            <w:pPr>
              <w:pStyle w:val="null3"/>
            </w:pPr>
            <w:r>
              <w:rPr>
                <w:rFonts w:ascii="仿宋_GB2312" w:hAnsi="仿宋_GB2312" w:cs="仿宋_GB2312" w:eastAsia="仿宋_GB2312"/>
              </w:rPr>
              <w:t>投标人须具备水利水电工程施工总承包三级（含三级）以上资质，建设行政主管部门颁发的有效的安全生产许可证。</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投标人拟派项目经理须为本单位注册人员，持有水利水电工程二级（含二级）以上注册建造师证书，具有水行政主管部门颁发的安全生产考核合格证，且无在建项目（提供无在建项目承诺书）。</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企业负责人、专职安全员</w:t>
            </w:r>
          </w:p>
        </w:tc>
        <w:tc>
          <w:tcPr>
            <w:tcW w:type="dxa" w:w="3322"/>
          </w:tcPr>
          <w:p>
            <w:pPr>
              <w:pStyle w:val="null3"/>
            </w:pPr>
            <w:r>
              <w:rPr>
                <w:rFonts w:ascii="仿宋_GB2312" w:hAnsi="仿宋_GB2312" w:cs="仿宋_GB2312" w:eastAsia="仿宋_GB2312"/>
              </w:rPr>
              <w:t>企业负责人、专职安全员须具有水行政主管部门颁发的安全生产考核合格证。</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具有履行合同所必需的设备和专业技术能力，提供承诺书。</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重大税收违法失信主体名单的投标人、不得为“中国执行信息公开网”网站（zxgk.court.gov.cn）中列入失信被执行人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特定资格证明材料.docx 陕西省政府采购供应商拒绝政府采购领域商业贿赂承诺书.docx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单位负责人为同一人或者存在直接控股、管理关系的不同投标人，不得同时参加同一合同项下的政府采购活动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单位负责人为同一人或者存在直接控股、管理关系的不同投标人，不得同时参加同一合同项下的政府采购活动，提供书面声明。</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本项目不接受联合体，提供非联合体投标声明。</w:t>
            </w:r>
          </w:p>
        </w:tc>
        <w:tc>
          <w:tcPr>
            <w:tcW w:type="dxa" w:w="1661"/>
          </w:tcPr>
          <w:p>
            <w:pPr>
              <w:pStyle w:val="null3"/>
            </w:pPr>
            <w:r>
              <w:rPr>
                <w:rFonts w:ascii="仿宋_GB2312" w:hAnsi="仿宋_GB2312" w:cs="仿宋_GB2312" w:eastAsia="仿宋_GB2312"/>
              </w:rPr>
              <w:t>特定资格证明材料.docx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内容完整性和编制水平</w:t>
            </w:r>
          </w:p>
        </w:tc>
        <w:tc>
          <w:tcPr>
            <w:tcW w:type="dxa" w:w="2492"/>
          </w:tcPr>
          <w:p>
            <w:pPr>
              <w:pStyle w:val="null3"/>
            </w:pPr>
            <w:r>
              <w:rPr>
                <w:rFonts w:ascii="仿宋_GB2312" w:hAnsi="仿宋_GB2312" w:cs="仿宋_GB2312" w:eastAsia="仿宋_GB2312"/>
              </w:rPr>
              <w:t>内容完整，编制水平高得3-5分；内容基本完整，编制水平一般得0-3分。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维修养护方案、方法与技术措施</w:t>
            </w:r>
          </w:p>
        </w:tc>
        <w:tc>
          <w:tcPr>
            <w:tcW w:type="dxa" w:w="2492"/>
          </w:tcPr>
          <w:p>
            <w:pPr>
              <w:pStyle w:val="null3"/>
            </w:pPr>
            <w:r>
              <w:rPr>
                <w:rFonts w:ascii="仿宋_GB2312" w:hAnsi="仿宋_GB2312" w:cs="仿宋_GB2312" w:eastAsia="仿宋_GB2312"/>
              </w:rPr>
              <w:t>对本项目了解透彻，制定的方案、方法与技术措施内容全面，施工工艺先进，对施工具有高度指导性，得10-15分；施工方案基本可行，方法、措施基本得当，得3-10分；可行性、指导性较低的得0-3分；不合理或未叙述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质量管理体系及保证措施</w:t>
            </w:r>
          </w:p>
        </w:tc>
        <w:tc>
          <w:tcPr>
            <w:tcW w:type="dxa" w:w="2492"/>
          </w:tcPr>
          <w:p>
            <w:pPr>
              <w:pStyle w:val="null3"/>
            </w:pPr>
            <w:r>
              <w:rPr>
                <w:rFonts w:ascii="仿宋_GB2312" w:hAnsi="仿宋_GB2312" w:cs="仿宋_GB2312" w:eastAsia="仿宋_GB2312"/>
              </w:rPr>
              <w:t>质量目标明确，管理体系健全，控制措施完整的得3-5分；质量目标基本明确，管理体系基本健全，控制措施较完整的得0-3分；不合理或未叙述者不得分。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安全生产、文明施工管理体系及保证措施</w:t>
            </w:r>
          </w:p>
        </w:tc>
        <w:tc>
          <w:tcPr>
            <w:tcW w:type="dxa" w:w="2492"/>
          </w:tcPr>
          <w:p>
            <w:pPr>
              <w:pStyle w:val="null3"/>
            </w:pPr>
            <w:r>
              <w:rPr>
                <w:rFonts w:ascii="仿宋_GB2312" w:hAnsi="仿宋_GB2312" w:cs="仿宋_GB2312" w:eastAsia="仿宋_GB2312"/>
              </w:rPr>
              <w:t>安全生产目标明确，预防和动态控制措施及制度完整、到位，管理体系和组织措施功能完善，安全经费投入明确的得3-5分；安全生产目标基本明确，控制措施及制度基本完整的得0-3分；不合理或未叙述不得分。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维修养护进度计划及保证措施</w:t>
            </w:r>
          </w:p>
        </w:tc>
        <w:tc>
          <w:tcPr>
            <w:tcW w:type="dxa" w:w="2492"/>
          </w:tcPr>
          <w:p>
            <w:pPr>
              <w:pStyle w:val="null3"/>
            </w:pPr>
            <w:r>
              <w:rPr>
                <w:rFonts w:ascii="仿宋_GB2312" w:hAnsi="仿宋_GB2312" w:cs="仿宋_GB2312" w:eastAsia="仿宋_GB2312"/>
              </w:rPr>
              <w:t>总服务期满足要求，维修养护进度、节点安排合理，进度计划横道图或网络图安排合理的得3-5分；总服务期满足要求，施工进度、节点安排基本合理，进度计划横道图或网络图较完善的得0-3分；未附进度计划横道图或网络图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环境保护、水土保持保证体系及保证措施</w:t>
            </w:r>
          </w:p>
        </w:tc>
        <w:tc>
          <w:tcPr>
            <w:tcW w:type="dxa" w:w="2492"/>
          </w:tcPr>
          <w:p>
            <w:pPr>
              <w:pStyle w:val="null3"/>
            </w:pPr>
            <w:r>
              <w:rPr>
                <w:rFonts w:ascii="仿宋_GB2312" w:hAnsi="仿宋_GB2312" w:cs="仿宋_GB2312" w:eastAsia="仿宋_GB2312"/>
              </w:rPr>
              <w:t>环境保护、水土保持施工保证体系健全、完整得3-5分；环境、水土保持施工保证体系基本健全、完整得0-3分；不合理或未叙述者不得分。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施工设备、实验及检测仪器设备</w:t>
            </w:r>
          </w:p>
        </w:tc>
        <w:tc>
          <w:tcPr>
            <w:tcW w:type="dxa" w:w="2492"/>
          </w:tcPr>
          <w:p>
            <w:pPr>
              <w:pStyle w:val="null3"/>
            </w:pPr>
            <w:r>
              <w:rPr>
                <w:rFonts w:ascii="仿宋_GB2312" w:hAnsi="仿宋_GB2312" w:cs="仿宋_GB2312" w:eastAsia="仿宋_GB2312"/>
              </w:rPr>
              <w:t>施工设备、实验及检测仪器设备配备合理，资源充足，完全满足施工要求得3-5分；施工设备、实验及检测仪器设备配备基本合理，基本满足施工要求得0-3分；不合理或未叙述者不得分。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主要劳动力配备</w:t>
            </w:r>
          </w:p>
        </w:tc>
        <w:tc>
          <w:tcPr>
            <w:tcW w:type="dxa" w:w="2492"/>
          </w:tcPr>
          <w:p>
            <w:pPr>
              <w:pStyle w:val="null3"/>
            </w:pPr>
            <w:r>
              <w:rPr>
                <w:rFonts w:ascii="仿宋_GB2312" w:hAnsi="仿宋_GB2312" w:cs="仿宋_GB2312" w:eastAsia="仿宋_GB2312"/>
              </w:rPr>
              <w:t>劳动力计划根据施工进度需求、工作量进行合理分配安排，并具有较强的实施性，满足施工要求得3-5分；基本可行得0-3分；不合理或未叙述者不得分。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项目风险预测与防范、事故应急预案考虑全面，切实可行，操作性强，经济合理得0-3分；不合理或未叙述者不得分。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项目经理职称及业绩</w:t>
            </w:r>
          </w:p>
        </w:tc>
        <w:tc>
          <w:tcPr>
            <w:tcW w:type="dxa" w:w="2492"/>
          </w:tcPr>
          <w:p>
            <w:pPr>
              <w:pStyle w:val="null3"/>
            </w:pPr>
            <w:r>
              <w:rPr>
                <w:rFonts w:ascii="仿宋_GB2312" w:hAnsi="仿宋_GB2312" w:cs="仿宋_GB2312" w:eastAsia="仿宋_GB2312"/>
              </w:rPr>
              <w:t>1、具有水利水电相关专业中级职称的得1分，具有水利水电相关专业高级及以上职称得2分； 2、近3年内具有水利工程施工项目经理经历得1分，无不得分； 合计最高得3分。 注：业绩以中标通知书或合同协议书或陕西省水利建设市场主体信用信息管理平台网页查询结果截图复印件/扫描件为准，提供的相关证明材料复印件/扫描件需体现其担任项目经理，否则不得分。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技术负责人职称及业绩</w:t>
            </w:r>
          </w:p>
        </w:tc>
        <w:tc>
          <w:tcPr>
            <w:tcW w:type="dxa" w:w="2492"/>
          </w:tcPr>
          <w:p>
            <w:pPr>
              <w:pStyle w:val="null3"/>
            </w:pPr>
            <w:r>
              <w:rPr>
                <w:rFonts w:ascii="仿宋_GB2312" w:hAnsi="仿宋_GB2312" w:cs="仿宋_GB2312" w:eastAsia="仿宋_GB2312"/>
              </w:rPr>
              <w:t>1、具有水利水电相关专业中级职称的得1分，具有水利水电相关专业高级及以上职称得2分； 2、近3年内具有水利工程施工技术负责人经历得1分，无不得分； 合计最高得3分。 注：业绩以中标通知书或合同协议书或陕西省水利建设市场主体信用信息管理平台网页查询结果截图复印件/扫描件为准，提供的复印件/扫描件需体现其担任技术负责人，否则不得分。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组织机构及主要专业技术人员、管理人员的配备</w:t>
            </w:r>
          </w:p>
        </w:tc>
        <w:tc>
          <w:tcPr>
            <w:tcW w:type="dxa" w:w="2492"/>
          </w:tcPr>
          <w:p>
            <w:pPr>
              <w:pStyle w:val="null3"/>
            </w:pPr>
            <w:r>
              <w:rPr>
                <w:rFonts w:ascii="仿宋_GB2312" w:hAnsi="仿宋_GB2312" w:cs="仿宋_GB2312" w:eastAsia="仿宋_GB2312"/>
              </w:rPr>
              <w:t>组织机构健全，实行了项目经理负责制，项目经理部的机构设置合理，配备有施工员、质量员、专职安全员、材料员、资料员及财务人员，均具有相应的岗位（资格）证件的得6分，每有一项岗位不满足要求的扣1.0分，扣完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投标人的业绩</w:t>
            </w:r>
          </w:p>
        </w:tc>
        <w:tc>
          <w:tcPr>
            <w:tcW w:type="dxa" w:w="2492"/>
          </w:tcPr>
          <w:p>
            <w:pPr>
              <w:pStyle w:val="null3"/>
            </w:pPr>
            <w:r>
              <w:rPr>
                <w:rFonts w:ascii="仿宋_GB2312" w:hAnsi="仿宋_GB2312" w:cs="仿宋_GB2312" w:eastAsia="仿宋_GB2312"/>
              </w:rPr>
              <w:t>近3年每承建过1项水利工程施工业绩得1分，最高得3分。注：业绩以中标通知书或合同协议书或陕西省水利建设市场主体信用信息管理平台网页查询结果截图复印件/扫描件为准。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企业业绩、安全标准化、信用评价.docx</w:t>
            </w:r>
          </w:p>
        </w:tc>
      </w:tr>
      <w:tr>
        <w:tc>
          <w:tcPr>
            <w:tcW w:type="dxa" w:w="831"/>
            <w:vMerge/>
          </w:tcPr>
          <w:p/>
        </w:tc>
        <w:tc>
          <w:tcPr>
            <w:tcW w:type="dxa" w:w="1661"/>
          </w:tcPr>
          <w:p>
            <w:pPr>
              <w:pStyle w:val="null3"/>
            </w:pPr>
            <w:r>
              <w:rPr>
                <w:rFonts w:ascii="仿宋_GB2312" w:hAnsi="仿宋_GB2312" w:cs="仿宋_GB2312" w:eastAsia="仿宋_GB2312"/>
              </w:rPr>
              <w:t>安全生产标准化</w:t>
            </w:r>
          </w:p>
        </w:tc>
        <w:tc>
          <w:tcPr>
            <w:tcW w:type="dxa" w:w="2492"/>
          </w:tcPr>
          <w:p>
            <w:pPr>
              <w:pStyle w:val="null3"/>
            </w:pPr>
            <w:r>
              <w:rPr>
                <w:rFonts w:ascii="仿宋_GB2312" w:hAnsi="仿宋_GB2312" w:cs="仿宋_GB2312" w:eastAsia="仿宋_GB2312"/>
              </w:rPr>
              <w:t>取得水利安全生产标准化得1分。 注：以提供的安全生产标准化证书扫描件/复印件或陕西省水利建设市场主体信用信息管理平台安全标准化查询结果截图等为准。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企业业绩、安全标准化、信用评价.docx</w:t>
            </w:r>
          </w:p>
        </w:tc>
      </w:tr>
      <w:tr>
        <w:tc>
          <w:tcPr>
            <w:tcW w:type="dxa" w:w="831"/>
            <w:vMerge/>
          </w:tcPr>
          <w:p/>
        </w:tc>
        <w:tc>
          <w:tcPr>
            <w:tcW w:type="dxa" w:w="1661"/>
          </w:tcPr>
          <w:p>
            <w:pPr>
              <w:pStyle w:val="null3"/>
            </w:pPr>
            <w:r>
              <w:rPr>
                <w:rFonts w:ascii="仿宋_GB2312" w:hAnsi="仿宋_GB2312" w:cs="仿宋_GB2312" w:eastAsia="仿宋_GB2312"/>
              </w:rPr>
              <w:t>企业信用评价</w:t>
            </w:r>
          </w:p>
        </w:tc>
        <w:tc>
          <w:tcPr>
            <w:tcW w:type="dxa" w:w="2492"/>
          </w:tcPr>
          <w:p>
            <w:pPr>
              <w:pStyle w:val="null3"/>
            </w:pPr>
            <w:r>
              <w:rPr>
                <w:rFonts w:ascii="仿宋_GB2312" w:hAnsi="仿宋_GB2312" w:cs="仿宋_GB2312" w:eastAsia="仿宋_GB2312"/>
              </w:rPr>
              <w:t>获评水利部/中国水利工程协会水利企业信用等级A级以上且在有效期内得1分。注：以提供的水利企业信用等级证书扫描件/复印件或全国/陕西省水利建设市场主体信用信息管理平台水利企业信用等级查询结果截图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企业业绩、安全标准化、信用评价.docx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1、按投标报价偏离评标基准价程度打分，投标报价等于评标基准价时，得30分；投标人投标报价每高于评标基准价1%扣1分，低于评标基准价1%扣0.5分。（按插值法计算）；评标基准价计算方法如下： S=（a1+a2+…+an-M-N）/（n-2）（n≥5） S=（a1+a2+…+an）/ n]（n≤4） 式中 S—评标基准价； ai—投标人有效报价（i＝1，2，…，n），有效报价为经初步评审满足招标文件要求的投标人报价均为有效报价； n—有效报价的投标人个数； M—最高的投标人有效报价； N—最低的投标人有效报价； 因本项目专门面向中小企业，不再进行小微企业价格扣除； 2、偏差率=（投标报价-评标基准价）/评标基准价×100%； 3、每个算术错误扣1分； 4、每漏一项扣1分。 以上各项扣分以总分值30分扣完为止。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省泾惠渠灌区2025年度水利工程维修养护经费-清单.pdf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详见附件：企业业绩、安全标准化、信用评价.docx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详见附件：特定资格证明材料.docx</w:t>
      </w:r>
    </w:p>
    <w:p>
      <w:pPr>
        <w:pStyle w:val="null3"/>
        <w:ind w:firstLine="960"/>
      </w:pPr>
      <w:r>
        <w:rPr>
          <w:rFonts w:ascii="仿宋_GB2312" w:hAnsi="仿宋_GB2312" w:cs="仿宋_GB2312" w:eastAsia="仿宋_GB2312"/>
        </w:rPr>
        <w:t>详见附件：其他.docx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详见附件：省泾惠渠灌区2025年度水利工程维修养护经费-清单.pdf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