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96E7BA6">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6EB4D6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1.营业执照：有独立承担民事责任能力的法人、其他组织或自然人，</w:t>
      </w:r>
      <w:r>
        <w:rPr>
          <w:rFonts w:hint="eastAsia"/>
          <w:color w:val="auto"/>
          <w:highlight w:val="none"/>
          <w:lang w:eastAsia="zh-CN"/>
        </w:rPr>
        <w:t>供应商</w:t>
      </w:r>
      <w:r>
        <w:rPr>
          <w:color w:val="auto"/>
          <w:highlight w:val="none"/>
        </w:rPr>
        <w:t>是法人或其他组织的应提供营业执照等证明文件，自然人的提供有效的自然人身份证明；</w:t>
      </w:r>
    </w:p>
    <w:p w14:paraId="169DF17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2.完税证明：供应商须提供投标截止时间前一年内，已缴纳的任意一个月的纳税证明或完税证明，纳税证明或完税证明上应有代收机构或税务机关的公章或业务专用章，依法免税的</w:t>
      </w:r>
      <w:r>
        <w:rPr>
          <w:rFonts w:hint="eastAsia"/>
          <w:color w:val="auto"/>
          <w:highlight w:val="none"/>
          <w:lang w:eastAsia="zh-CN"/>
        </w:rPr>
        <w:t>供应商</w:t>
      </w:r>
      <w:r>
        <w:rPr>
          <w:color w:val="auto"/>
          <w:highlight w:val="none"/>
        </w:rPr>
        <w:t>应提供相关文件证明；</w:t>
      </w:r>
    </w:p>
    <w:p w14:paraId="26DADDD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w:t>
      </w:r>
      <w:r>
        <w:rPr>
          <w:rFonts w:hint="eastAsia"/>
          <w:color w:val="auto"/>
          <w:highlight w:val="none"/>
          <w:lang w:eastAsia="zh-CN"/>
        </w:rPr>
        <w:t>供应商</w:t>
      </w:r>
      <w:r>
        <w:rPr>
          <w:color w:val="auto"/>
          <w:highlight w:val="none"/>
        </w:rPr>
        <w:t>应提供相关文件证明；</w:t>
      </w:r>
    </w:p>
    <w:p w14:paraId="4616C1D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4.无重大违法记录的书面声明：提供参加政府采购活动前三年内，在经营活动中没有重大违法记录的书面声明；</w:t>
      </w:r>
    </w:p>
    <w:p w14:paraId="35D52A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5.履约声明：具有履行合同所必需的设备和专业技术能力的书面声明；</w:t>
      </w:r>
    </w:p>
    <w:p w14:paraId="2C62B72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rFonts w:hint="eastAsia"/>
          <w:color w:val="auto"/>
          <w:highlight w:val="none"/>
          <w:lang w:val="en-US" w:eastAsia="zh-CN"/>
        </w:rPr>
        <w:t>6.</w:t>
      </w:r>
      <w:r>
        <w:rPr>
          <w:color w:val="auto"/>
          <w:highlight w:val="none"/>
        </w:rPr>
        <w:t>供应商须提供202</w:t>
      </w:r>
      <w:r>
        <w:rPr>
          <w:rFonts w:hint="eastAsia"/>
          <w:color w:val="auto"/>
          <w:highlight w:val="none"/>
          <w:lang w:val="en-US" w:eastAsia="zh-CN"/>
        </w:rPr>
        <w:t>3</w:t>
      </w:r>
      <w:r>
        <w:rPr>
          <w:color w:val="auto"/>
          <w:highlight w:val="none"/>
        </w:rPr>
        <w:t>年度或202</w:t>
      </w:r>
      <w:r>
        <w:rPr>
          <w:rFonts w:hint="eastAsia"/>
          <w:color w:val="auto"/>
          <w:highlight w:val="none"/>
          <w:lang w:val="en-US" w:eastAsia="zh-CN"/>
        </w:rPr>
        <w:t>4</w:t>
      </w:r>
      <w:r>
        <w:rPr>
          <w:color w:val="auto"/>
          <w:highlight w:val="none"/>
        </w:rPr>
        <w:t>年度经审计的财务报告（包括“四表一注”即《资产负债表》《利润表》《现金流量表》《所有者权益变动表》及其附注；成立时间至提交</w:t>
      </w:r>
      <w:r>
        <w:rPr>
          <w:rFonts w:hint="eastAsia"/>
          <w:color w:val="auto"/>
          <w:highlight w:val="none"/>
          <w:lang w:eastAsia="zh-CN"/>
        </w:rPr>
        <w:t>响应文件</w:t>
      </w:r>
      <w:r>
        <w:rPr>
          <w:color w:val="auto"/>
          <w:highlight w:val="none"/>
        </w:rPr>
        <w:t>截止时间不足一年的可提供成立后任意时段的资产负债表）或基本存款账户开户银行出具的资信证明（资信证明需提供投标截止时间前6个月内）及基本存款账户开户许可证（基本账户信息）；</w:t>
      </w:r>
    </w:p>
    <w:p w14:paraId="121796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eastAsia="宋体"/>
          <w:color w:val="auto"/>
          <w:highlight w:val="none"/>
          <w:lang w:eastAsia="zh-CN"/>
        </w:rPr>
      </w:pPr>
      <w:r>
        <w:rPr>
          <w:rFonts w:hint="eastAsia"/>
          <w:color w:val="auto"/>
          <w:highlight w:val="none"/>
          <w:lang w:val="en-US" w:eastAsia="zh-CN"/>
        </w:rPr>
        <w:t>7.</w:t>
      </w:r>
      <w:r>
        <w:rPr>
          <w:color w:val="auto"/>
          <w:highlight w:val="none"/>
        </w:rPr>
        <w:t>法定代表人授权书(附法定代表人、被授权人身份证复印件)及被授权人身份证复印件(法定代表人直接参加招标，须提供法定代表人身份证明及身份证复印件)；非法人单位参照执行</w:t>
      </w:r>
      <w:r>
        <w:rPr>
          <w:rFonts w:hint="eastAsia"/>
          <w:color w:val="auto"/>
          <w:highlight w:val="none"/>
          <w:lang w:eastAsia="zh-CN"/>
        </w:rPr>
        <w:t>；</w:t>
      </w:r>
    </w:p>
    <w:p w14:paraId="6187BEE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rFonts w:hint="eastAsia"/>
          <w:color w:val="auto"/>
          <w:highlight w:val="none"/>
          <w:lang w:val="en-US" w:eastAsia="zh-CN"/>
        </w:rPr>
        <w:t>8.</w:t>
      </w:r>
      <w:r>
        <w:rPr>
          <w:color w:val="auto"/>
          <w:highlight w:val="none"/>
        </w:rPr>
        <w:t>单位负责人为同一人或者存在直接控股、管理关系的不同</w:t>
      </w:r>
      <w:r>
        <w:rPr>
          <w:rFonts w:hint="eastAsia"/>
          <w:color w:val="auto"/>
          <w:highlight w:val="none"/>
          <w:lang w:eastAsia="zh-CN"/>
        </w:rPr>
        <w:t>供应商</w:t>
      </w:r>
      <w:r>
        <w:rPr>
          <w:color w:val="auto"/>
          <w:highlight w:val="none"/>
        </w:rPr>
        <w:t>，不得参加同一项目的招标活动；（提供承诺书）</w:t>
      </w:r>
    </w:p>
    <w:p w14:paraId="3669D2A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eastAsia="zh-CN"/>
        </w:rPr>
      </w:pPr>
      <w:r>
        <w:rPr>
          <w:rFonts w:hint="eastAsia"/>
          <w:color w:val="auto"/>
          <w:highlight w:val="none"/>
          <w:lang w:val="en-US" w:eastAsia="zh-CN"/>
        </w:rPr>
        <w:t>9.</w:t>
      </w:r>
      <w:r>
        <w:rPr>
          <w:rFonts w:hint="eastAsia"/>
          <w:color w:val="auto"/>
          <w:highlight w:val="none"/>
          <w:lang w:eastAsia="zh-CN"/>
        </w:rPr>
        <w:t>供应商</w:t>
      </w:r>
      <w:r>
        <w:rPr>
          <w:color w:val="auto"/>
          <w:highlight w:val="none"/>
        </w:rPr>
        <w:t>未被“信用中国”网站（www.creditchina.gov.cn）中列入失信被执行人和重大税收违法案件当事人名单</w:t>
      </w:r>
      <w:r>
        <w:rPr>
          <w:rFonts w:hint="eastAsia"/>
          <w:color w:val="auto"/>
          <w:highlight w:val="none"/>
          <w:lang w:eastAsia="zh-CN"/>
        </w:rPr>
        <w:t>；</w:t>
      </w:r>
      <w:r>
        <w:rPr>
          <w:color w:val="auto"/>
          <w:highlight w:val="none"/>
        </w:rPr>
        <w:t>在中国政府采购网（www.ccgp.gov.cn）政府采购严重违法失信行为记录名单中未被财政部门禁止参加政府采购活动的</w:t>
      </w:r>
      <w:r>
        <w:rPr>
          <w:rFonts w:hint="eastAsia"/>
          <w:color w:val="auto"/>
          <w:highlight w:val="none"/>
          <w:lang w:eastAsia="zh-CN"/>
        </w:rPr>
        <w:t>供应商；</w:t>
      </w:r>
    </w:p>
    <w:p w14:paraId="1A721F2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7D31952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rPr>
      </w:pPr>
      <w:r>
        <w:rPr>
          <w:rFonts w:hint="eastAsia"/>
          <w:color w:val="auto"/>
          <w:highlight w:val="none"/>
          <w:lang w:val="en-US" w:eastAsia="zh-CN"/>
        </w:rPr>
        <w:t>10.</w:t>
      </w:r>
      <w:r>
        <w:rPr>
          <w:rFonts w:hint="eastAsia"/>
          <w:color w:val="auto"/>
          <w:highlight w:val="none"/>
        </w:rPr>
        <w:t>企业资质：供应商须具有交通运输部质量监督机构颁发的公路水运工程试验检测机构公路工程综合甲级资格。同时具备有效的省级及以上质量技术监督部门颁发的检验检测机构资质认定（CMA认证）证书。</w:t>
      </w:r>
    </w:p>
    <w:p w14:paraId="2BF48C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default"/>
          <w:color w:val="auto"/>
          <w:highlight w:val="none"/>
          <w:lang w:val="en-US" w:eastAsia="zh-CN"/>
        </w:rPr>
      </w:pPr>
      <w:r>
        <w:rPr>
          <w:rFonts w:hint="eastAsia"/>
          <w:color w:val="auto"/>
          <w:highlight w:val="none"/>
          <w:lang w:val="en-US" w:eastAsia="zh-CN"/>
        </w:rPr>
        <w:t>11.不允许组成联合体投标。（提供承诺书）</w:t>
      </w:r>
    </w:p>
    <w:p w14:paraId="755447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sectPr>
          <w:pgSz w:w="11906" w:h="16838"/>
          <w:pgMar w:top="1440" w:right="1800" w:bottom="1440" w:left="1800" w:header="851" w:footer="992" w:gutter="0"/>
          <w:cols w:space="720" w:num="1"/>
          <w:docGrid w:type="lines" w:linePitch="312" w:charSpace="0"/>
        </w:sectPr>
      </w:pPr>
      <w:r>
        <w:rPr>
          <w:rFonts w:hint="eastAsia"/>
          <w:color w:val="auto"/>
          <w:highlight w:val="none"/>
          <w:lang w:val="en-US" w:eastAsia="zh-CN"/>
        </w:rPr>
        <w:t>12.供应商认</w:t>
      </w:r>
      <w:bookmarkStart w:id="46" w:name="_GoBack"/>
      <w:bookmarkEnd w:id="46"/>
      <w:r>
        <w:rPr>
          <w:rFonts w:hint="eastAsia"/>
          <w:color w:val="auto"/>
          <w:highlight w:val="none"/>
          <w:lang w:val="en-US" w:eastAsia="zh-CN"/>
        </w:rPr>
        <w:t>为需要提供的其他相关证明材料。</w:t>
      </w:r>
    </w:p>
    <w:p w14:paraId="5894AA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0C6C7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2F0FF7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BB0C73F">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9165"/>
      <w:bookmarkStart w:id="1" w:name="_Toc4561"/>
      <w:bookmarkStart w:id="2" w:name="_Toc1517"/>
      <w:bookmarkStart w:id="3" w:name="_Toc25524"/>
      <w:bookmarkStart w:id="4" w:name="_Toc15868"/>
      <w:bookmarkStart w:id="5" w:name="_Toc32331"/>
      <w:bookmarkStart w:id="6" w:name="_Toc20662"/>
      <w:bookmarkStart w:id="7" w:name="_Toc708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2023"/>
      <w:bookmarkStart w:id="9" w:name="_Toc15131"/>
      <w:bookmarkStart w:id="10" w:name="_Toc26760"/>
      <w:bookmarkStart w:id="11" w:name="_Toc21260"/>
      <w:bookmarkStart w:id="12" w:name="_Toc952"/>
      <w:bookmarkStart w:id="13" w:name="_Toc10651"/>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18882"/>
      <w:bookmarkStart w:id="15" w:name="_Toc21910"/>
      <w:bookmarkStart w:id="16" w:name="_Toc24547"/>
      <w:bookmarkStart w:id="17" w:name="_Toc13961"/>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31E6C302">
      <w:pPr>
        <w:adjustRightInd w:val="0"/>
        <w:snapToGrid w:val="0"/>
        <w:spacing w:line="360" w:lineRule="auto"/>
        <w:ind w:right="420"/>
        <w:rPr>
          <w:rFonts w:hint="eastAsia" w:ascii="宋体" w:hAnsi="宋体" w:eastAsia="宋体" w:cs="宋体"/>
          <w:color w:val="auto"/>
          <w:kern w:val="0"/>
          <w:sz w:val="24"/>
          <w:szCs w:val="20"/>
          <w:highlight w:val="none"/>
          <w:lang w:eastAsia="zh-CN"/>
        </w:rPr>
      </w:pPr>
    </w:p>
    <w:p w14:paraId="39AF5060">
      <w:pPr>
        <w:adjustRightInd w:val="0"/>
        <w:snapToGrid w:val="0"/>
        <w:spacing w:line="360" w:lineRule="auto"/>
        <w:ind w:right="420"/>
        <w:jc w:val="righ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0AC5E85">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p>
    <w:p w14:paraId="1711369D">
      <w:pPr>
        <w:spacing w:line="500" w:lineRule="exact"/>
        <w:ind w:firstLine="561"/>
        <w:rPr>
          <w:rFonts w:hint="eastAsia" w:ascii="宋体" w:hAnsi="宋体" w:eastAsia="宋体" w:cs="宋体"/>
          <w:b/>
          <w:bCs/>
          <w:color w:val="auto"/>
          <w:sz w:val="24"/>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31865"/>
      <w:bookmarkStart w:id="19" w:name="_Toc483349441"/>
      <w:bookmarkStart w:id="20" w:name="_Toc29613"/>
      <w:bookmarkStart w:id="21" w:name="_Toc26738"/>
      <w:bookmarkStart w:id="22" w:name="_Toc6945"/>
      <w:bookmarkStart w:id="23" w:name="_Toc23557"/>
      <w:bookmarkStart w:id="24" w:name="_Toc13597"/>
      <w:bookmarkStart w:id="25" w:name="_Toc14081"/>
      <w:bookmarkStart w:id="26" w:name="_Toc29800"/>
      <w:bookmarkStart w:id="27" w:name="_Toc22704"/>
      <w:bookmarkStart w:id="28" w:name="_Toc22198"/>
      <w:bookmarkStart w:id="29" w:name="_Toc12905"/>
      <w:bookmarkStart w:id="30" w:name="_Toc13312"/>
      <w:bookmarkStart w:id="31" w:name="_Toc31501"/>
      <w:bookmarkStart w:id="32" w:name="_Toc21050"/>
      <w:bookmarkStart w:id="33" w:name="_Toc17482"/>
      <w:bookmarkStart w:id="34" w:name="_Toc18044"/>
      <w:bookmarkStart w:id="35" w:name="_Toc12408"/>
      <w:bookmarkStart w:id="36" w:name="_Toc9004"/>
      <w:bookmarkStart w:id="37" w:name="_Toc17265"/>
      <w:bookmarkStart w:id="38" w:name="_Toc15591"/>
      <w:bookmarkStart w:id="39" w:name="_Toc19326"/>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2708F19E">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83EDF72">
      <w:pPr>
        <w:widowControl/>
        <w:spacing w:line="360" w:lineRule="exact"/>
        <w:ind w:firstLine="420" w:firstLineChars="200"/>
        <w:rPr>
          <w:rFonts w:hint="eastAsia" w:ascii="宋体" w:hAnsi="宋体" w:eastAsia="宋体" w:cs="宋体"/>
          <w:b/>
          <w:bCs/>
          <w:color w:val="auto"/>
          <w:szCs w:val="21"/>
        </w:rPr>
      </w:pPr>
      <w:bookmarkStart w:id="40" w:name="_Toc4050"/>
      <w:bookmarkStart w:id="41" w:name="_Toc7264"/>
      <w:bookmarkStart w:id="42" w:name="_Toc26876"/>
      <w:bookmarkStart w:id="43" w:name="_Toc5624"/>
      <w:bookmarkStart w:id="44" w:name="_Toc15794"/>
      <w:bookmarkStart w:id="45" w:name="_Toc255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磋商</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cs="宋体"/>
          <w:color w:val="auto"/>
          <w:sz w:val="24"/>
          <w:lang w:eastAsia="zh-CN"/>
        </w:rPr>
        <w:t>磋商</w:t>
      </w:r>
      <w:r>
        <w:rPr>
          <w:rFonts w:hint="eastAsia" w:ascii="宋体" w:hAnsi="宋体" w:eastAsia="宋体" w:cs="宋体"/>
          <w:color w:val="auto"/>
          <w:sz w:val="24"/>
        </w:rPr>
        <w:t>保证金缴纳凭证或担保机构出具的保函</w:t>
      </w:r>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7338CE35">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非</w:t>
      </w:r>
      <w:r>
        <w:rPr>
          <w:rFonts w:hint="eastAsia" w:ascii="宋体" w:hAnsi="宋体" w:eastAsia="宋体" w:cs="宋体"/>
          <w:b/>
          <w:bCs/>
          <w:color w:val="auto"/>
          <w:sz w:val="24"/>
        </w:rPr>
        <w:t>联合体声明</w:t>
      </w:r>
    </w:p>
    <w:p w14:paraId="43615C8A">
      <w:pPr>
        <w:rPr>
          <w:rFonts w:hint="default" w:ascii="宋体" w:hAnsi="宋体" w:eastAsia="宋体" w:cs="宋体"/>
          <w:lang w:val="en-US" w:eastAsia="zh-CN"/>
        </w:rPr>
      </w:pPr>
      <w:r>
        <w:rPr>
          <w:rFonts w:hint="eastAsia" w:ascii="宋体" w:hAnsi="宋体" w:cs="宋体"/>
          <w:lang w:val="en-US" w:eastAsia="zh-CN"/>
        </w:rPr>
        <w:t>格式自拟</w:t>
      </w:r>
    </w:p>
    <w:p w14:paraId="06DCF7C9">
      <w:pPr>
        <w:spacing w:line="480" w:lineRule="auto"/>
        <w:ind w:firstLine="480" w:firstLineChars="200"/>
        <w:jc w:val="left"/>
        <w:rPr>
          <w:rFonts w:hint="eastAsia" w:ascii="宋体" w:hAnsi="宋体" w:eastAsia="宋体" w:cs="宋体"/>
          <w:color w:val="auto"/>
          <w:sz w:val="24"/>
        </w:rPr>
      </w:pPr>
    </w:p>
    <w:p w14:paraId="2CB19427">
      <w:pPr>
        <w:spacing w:line="480" w:lineRule="auto"/>
        <w:ind w:firstLine="480" w:firstLineChars="200"/>
        <w:jc w:val="left"/>
        <w:rPr>
          <w:rFonts w:hint="eastAsia" w:ascii="宋体" w:hAnsi="宋体" w:eastAsia="宋体" w:cs="宋体"/>
          <w:color w:val="auto"/>
          <w:sz w:val="24"/>
        </w:rPr>
      </w:pPr>
    </w:p>
    <w:p w14:paraId="424EA7FF">
      <w:pPr>
        <w:spacing w:line="480" w:lineRule="auto"/>
        <w:ind w:firstLine="480" w:firstLineChars="200"/>
        <w:jc w:val="left"/>
        <w:rPr>
          <w:rFonts w:hint="eastAsia" w:ascii="宋体" w:hAnsi="宋体" w:eastAsia="宋体" w:cs="宋体"/>
          <w:color w:val="auto"/>
          <w:sz w:val="24"/>
        </w:rPr>
      </w:pPr>
    </w:p>
    <w:p w14:paraId="09D831B5">
      <w:pPr>
        <w:spacing w:line="480" w:lineRule="auto"/>
        <w:ind w:firstLine="480" w:firstLineChars="200"/>
        <w:jc w:val="left"/>
        <w:rPr>
          <w:rFonts w:hint="eastAsia" w:ascii="宋体" w:hAnsi="宋体" w:eastAsia="宋体" w:cs="宋体"/>
          <w:color w:val="auto"/>
          <w:sz w:val="24"/>
        </w:rPr>
      </w:pPr>
    </w:p>
    <w:p w14:paraId="6D21E9B4">
      <w:pPr>
        <w:spacing w:line="480" w:lineRule="auto"/>
        <w:ind w:firstLine="480" w:firstLineChars="200"/>
        <w:jc w:val="left"/>
        <w:rPr>
          <w:rFonts w:hint="eastAsia" w:ascii="宋体" w:hAnsi="宋体" w:eastAsia="宋体" w:cs="宋体"/>
          <w:color w:val="auto"/>
          <w:sz w:val="24"/>
        </w:rPr>
      </w:pPr>
    </w:p>
    <w:p w14:paraId="30389A25">
      <w:pPr>
        <w:spacing w:line="480" w:lineRule="auto"/>
        <w:ind w:firstLine="480" w:firstLineChars="200"/>
        <w:jc w:val="left"/>
        <w:rPr>
          <w:rFonts w:hint="eastAsia" w:ascii="宋体" w:hAnsi="宋体" w:eastAsia="宋体" w:cs="宋体"/>
          <w:color w:val="auto"/>
          <w:sz w:val="24"/>
        </w:rPr>
      </w:pPr>
    </w:p>
    <w:p w14:paraId="51211689">
      <w:pPr>
        <w:spacing w:line="480" w:lineRule="auto"/>
        <w:ind w:firstLine="480" w:firstLineChars="200"/>
        <w:jc w:val="left"/>
        <w:rPr>
          <w:rFonts w:hint="eastAsia" w:ascii="宋体" w:hAnsi="宋体" w:eastAsia="宋体" w:cs="宋体"/>
          <w:color w:val="auto"/>
          <w:sz w:val="24"/>
        </w:rPr>
      </w:pPr>
    </w:p>
    <w:p w14:paraId="055B9D1E">
      <w:pPr>
        <w:spacing w:line="480" w:lineRule="auto"/>
        <w:ind w:firstLine="480" w:firstLineChars="200"/>
        <w:jc w:val="left"/>
        <w:rPr>
          <w:rFonts w:hint="eastAsia" w:ascii="宋体" w:hAnsi="宋体" w:eastAsia="宋体" w:cs="宋体"/>
          <w:color w:val="auto"/>
          <w:sz w:val="24"/>
        </w:rPr>
      </w:pPr>
    </w:p>
    <w:p w14:paraId="1EF927E5">
      <w:pPr>
        <w:spacing w:line="480" w:lineRule="auto"/>
        <w:ind w:firstLine="480" w:firstLineChars="200"/>
        <w:jc w:val="left"/>
        <w:rPr>
          <w:rFonts w:hint="eastAsia" w:ascii="宋体" w:hAnsi="宋体" w:eastAsia="宋体" w:cs="宋体"/>
          <w:color w:val="auto"/>
          <w:sz w:val="24"/>
        </w:rPr>
      </w:pPr>
    </w:p>
    <w:p w14:paraId="4052DB8F">
      <w:pPr>
        <w:spacing w:line="480" w:lineRule="auto"/>
        <w:ind w:firstLine="480" w:firstLineChars="200"/>
        <w:jc w:val="left"/>
        <w:rPr>
          <w:rFonts w:hint="eastAsia" w:ascii="宋体" w:hAnsi="宋体" w:eastAsia="宋体" w:cs="宋体"/>
          <w:color w:val="auto"/>
          <w:sz w:val="24"/>
        </w:rPr>
      </w:pPr>
    </w:p>
    <w:p w14:paraId="21872DBB">
      <w:pPr>
        <w:spacing w:line="480" w:lineRule="auto"/>
        <w:ind w:firstLine="480" w:firstLineChars="200"/>
        <w:jc w:val="left"/>
        <w:rPr>
          <w:rFonts w:hint="eastAsia" w:ascii="宋体" w:hAnsi="宋体" w:eastAsia="宋体" w:cs="宋体"/>
          <w:color w:val="auto"/>
          <w:sz w:val="24"/>
        </w:rPr>
      </w:pPr>
    </w:p>
    <w:p w14:paraId="6EEE6D78">
      <w:pPr>
        <w:spacing w:line="480" w:lineRule="auto"/>
        <w:ind w:firstLine="480" w:firstLineChars="200"/>
        <w:jc w:val="left"/>
        <w:rPr>
          <w:rFonts w:hint="eastAsia" w:ascii="宋体" w:hAnsi="宋体" w:eastAsia="宋体" w:cs="宋体"/>
          <w:color w:val="auto"/>
          <w:sz w:val="24"/>
        </w:rPr>
      </w:pPr>
    </w:p>
    <w:p w14:paraId="34D4F6C0">
      <w:pPr>
        <w:spacing w:line="480" w:lineRule="auto"/>
        <w:ind w:firstLine="480" w:firstLineChars="200"/>
        <w:jc w:val="left"/>
        <w:rPr>
          <w:rFonts w:hint="eastAsia" w:ascii="宋体" w:hAnsi="宋体" w:eastAsia="宋体" w:cs="宋体"/>
          <w:color w:val="auto"/>
          <w:sz w:val="24"/>
        </w:rPr>
      </w:pPr>
    </w:p>
    <w:p w14:paraId="7C83E2AD">
      <w:pPr>
        <w:spacing w:line="480" w:lineRule="auto"/>
        <w:ind w:firstLine="480" w:firstLineChars="200"/>
        <w:jc w:val="left"/>
        <w:rPr>
          <w:rFonts w:hint="eastAsia" w:ascii="宋体" w:hAnsi="宋体" w:eastAsia="宋体" w:cs="宋体"/>
          <w:color w:val="auto"/>
          <w:sz w:val="24"/>
        </w:rPr>
      </w:pPr>
    </w:p>
    <w:p w14:paraId="1773DFF6">
      <w:pPr>
        <w:spacing w:line="480" w:lineRule="auto"/>
        <w:ind w:firstLine="480" w:firstLineChars="200"/>
        <w:jc w:val="left"/>
        <w:rPr>
          <w:rFonts w:hint="eastAsia" w:ascii="宋体" w:hAnsi="宋体" w:eastAsia="宋体" w:cs="宋体"/>
          <w:color w:val="auto"/>
          <w:sz w:val="24"/>
        </w:rPr>
      </w:pPr>
    </w:p>
    <w:p w14:paraId="7D1A507B">
      <w:pPr>
        <w:spacing w:line="480" w:lineRule="auto"/>
        <w:ind w:firstLine="480" w:firstLineChars="200"/>
        <w:jc w:val="left"/>
        <w:rPr>
          <w:rFonts w:hint="eastAsia" w:ascii="宋体" w:hAnsi="宋体" w:eastAsia="宋体" w:cs="宋体"/>
          <w:color w:val="auto"/>
          <w:sz w:val="24"/>
        </w:rPr>
      </w:pPr>
    </w:p>
    <w:p w14:paraId="16F9EBB4">
      <w:pPr>
        <w:spacing w:line="480" w:lineRule="auto"/>
        <w:ind w:firstLine="480" w:firstLineChars="200"/>
        <w:jc w:val="left"/>
        <w:rPr>
          <w:rFonts w:hint="eastAsia" w:ascii="宋体" w:hAnsi="宋体" w:eastAsia="宋体" w:cs="宋体"/>
          <w:color w:val="auto"/>
          <w:sz w:val="24"/>
        </w:rPr>
      </w:pPr>
    </w:p>
    <w:p w14:paraId="6BF8BBD0">
      <w:pPr>
        <w:spacing w:line="480" w:lineRule="auto"/>
        <w:ind w:firstLine="480" w:firstLineChars="200"/>
        <w:jc w:val="left"/>
        <w:rPr>
          <w:rFonts w:hint="eastAsia" w:ascii="宋体" w:hAnsi="宋体" w:eastAsia="宋体" w:cs="宋体"/>
          <w:color w:val="auto"/>
          <w:sz w:val="24"/>
        </w:rPr>
      </w:pPr>
    </w:p>
    <w:p w14:paraId="6C82CEFF">
      <w:pPr>
        <w:spacing w:line="480" w:lineRule="auto"/>
        <w:ind w:firstLine="480" w:firstLineChars="200"/>
        <w:jc w:val="left"/>
        <w:rPr>
          <w:rFonts w:hint="eastAsia" w:ascii="宋体" w:hAnsi="宋体" w:eastAsia="宋体" w:cs="宋体"/>
          <w:color w:val="auto"/>
          <w:sz w:val="24"/>
        </w:rPr>
      </w:pPr>
    </w:p>
    <w:p w14:paraId="74ED7EE9">
      <w:pPr>
        <w:spacing w:line="480" w:lineRule="auto"/>
        <w:ind w:firstLine="480" w:firstLineChars="200"/>
        <w:jc w:val="left"/>
        <w:rPr>
          <w:rFonts w:hint="eastAsia" w:ascii="宋体" w:hAnsi="宋体" w:eastAsia="宋体" w:cs="宋体"/>
          <w:color w:val="auto"/>
          <w:sz w:val="24"/>
        </w:rPr>
      </w:pPr>
    </w:p>
    <w:p w14:paraId="2ACAD1B9">
      <w:pPr>
        <w:spacing w:line="480" w:lineRule="auto"/>
        <w:ind w:firstLine="480" w:firstLineChars="200"/>
        <w:jc w:val="left"/>
        <w:rPr>
          <w:rFonts w:hint="eastAsia" w:ascii="宋体" w:hAnsi="宋体" w:eastAsia="宋体" w:cs="宋体"/>
          <w:color w:val="auto"/>
          <w:sz w:val="24"/>
        </w:rPr>
      </w:pPr>
    </w:p>
    <w:p w14:paraId="68B03D1B">
      <w:pPr>
        <w:spacing w:line="480" w:lineRule="auto"/>
        <w:ind w:firstLine="480" w:firstLineChars="200"/>
        <w:jc w:val="left"/>
        <w:rPr>
          <w:rFonts w:hint="eastAsia" w:ascii="宋体" w:hAnsi="宋体" w:eastAsia="宋体" w:cs="宋体"/>
          <w:color w:val="auto"/>
          <w:sz w:val="24"/>
        </w:rPr>
      </w:pPr>
    </w:p>
    <w:p w14:paraId="7658B02B">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其他资料</w:t>
      </w:r>
      <w:r>
        <w:rPr>
          <w:rFonts w:hint="eastAsia" w:ascii="宋体" w:hAnsi="宋体" w:cs="宋体"/>
          <w:b/>
          <w:bCs/>
          <w:color w:val="auto"/>
          <w:sz w:val="24"/>
          <w:lang w:eastAsia="zh-CN"/>
        </w:rPr>
        <w:t>（如有）</w:t>
      </w:r>
    </w:p>
    <w:p w14:paraId="7247E1C2">
      <w:pPr>
        <w:spacing w:line="480" w:lineRule="auto"/>
        <w:ind w:firstLine="480" w:firstLineChars="200"/>
        <w:jc w:val="left"/>
        <w:rPr>
          <w:rFonts w:hint="eastAsia" w:ascii="宋体" w:hAnsi="宋体" w:eastAsia="宋体" w:cs="宋体"/>
          <w:color w:val="auto"/>
          <w:sz w:val="24"/>
        </w:rPr>
      </w:pPr>
    </w:p>
    <w:p w14:paraId="3FECC336">
      <w:pPr>
        <w:spacing w:line="480" w:lineRule="auto"/>
        <w:ind w:firstLine="480" w:firstLineChars="200"/>
        <w:jc w:val="left"/>
        <w:rPr>
          <w:rFonts w:hint="eastAsia" w:ascii="宋体" w:hAnsi="宋体" w:eastAsia="宋体" w:cs="宋体"/>
          <w:color w:val="auto"/>
          <w:sz w:val="24"/>
        </w:rPr>
      </w:pP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0DD27BF"/>
    <w:rsid w:val="07E01DA1"/>
    <w:rsid w:val="08634780"/>
    <w:rsid w:val="0D1C114E"/>
    <w:rsid w:val="0E9877E2"/>
    <w:rsid w:val="12E34F1A"/>
    <w:rsid w:val="136A0736"/>
    <w:rsid w:val="17D2599D"/>
    <w:rsid w:val="198B0CFC"/>
    <w:rsid w:val="1D1832DA"/>
    <w:rsid w:val="1F97187F"/>
    <w:rsid w:val="25453ACD"/>
    <w:rsid w:val="321A6B82"/>
    <w:rsid w:val="333467A8"/>
    <w:rsid w:val="385E1544"/>
    <w:rsid w:val="38F8669B"/>
    <w:rsid w:val="3EA83015"/>
    <w:rsid w:val="4233539B"/>
    <w:rsid w:val="47BE7CC8"/>
    <w:rsid w:val="488E0E2C"/>
    <w:rsid w:val="4B420C77"/>
    <w:rsid w:val="4BB431F2"/>
    <w:rsid w:val="561A456C"/>
    <w:rsid w:val="57366C49"/>
    <w:rsid w:val="59B241EC"/>
    <w:rsid w:val="61926DDD"/>
    <w:rsid w:val="6502186D"/>
    <w:rsid w:val="65594D61"/>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2471</Words>
  <Characters>2536</Characters>
  <Lines>0</Lines>
  <Paragraphs>0</Paragraphs>
  <TotalTime>3</TotalTime>
  <ScaleCrop>false</ScaleCrop>
  <LinksUpToDate>false</LinksUpToDate>
  <CharactersWithSpaces>3435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2025-05-27T13:55:13Z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02F4DD8077404EA3AC96D57CBB4763D0_13</vt:lpwstr>
  </property>
  <property fmtid="{D5CDD505-2E9C-101B-9397-08002B2CF9AE}" pid="4" name="KSOTemplateDocerSaveRecord">
    <vt:lpwstr>eyJoZGlkIjoiNDI0M2ZkMjlkNzc2YjlkYWU4NDgxYzE0OWE0ZjBmOTUiLCJ1c2VySWQiOiI1Mjk0OTIyMzEifQ==</vt:lpwstr>
  </property>
</Properties>
</file>