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版本号：0617-2522FZ117820250527001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《关中盆地引汉济渭区域地下水动态监测评价》和《榆神府煤炭开采区地下水监测与保护研究》项目中2025年度水质和土壤样品分析测试</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0617-2522FZ1178</w:t>
      </w:r>
      <w:r>
        <w:br/>
      </w:r>
      <w:r>
        <w:br/>
      </w:r>
      <w:r>
        <w:br/>
      </w:r>
    </w:p>
    <w:p>
      <w:pPr>
        <w:pStyle w:val="null3"/>
        <w:jc w:val="center"/>
        <w:outlineLvl w:val="2"/>
      </w:pPr>
      <w:r>
        <w:rPr>
          <w:rFonts w:ascii="仿宋_GB2312" w:hAnsi="仿宋_GB2312" w:cs="仿宋_GB2312" w:eastAsia="仿宋_GB2312"/>
          <w:sz w:val="28"/>
          <w:b/>
        </w:rPr>
        <w:t>省地质环境监测总站</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省地质环境监测总站</w:t>
      </w:r>
      <w:r>
        <w:rPr>
          <w:rFonts w:ascii="仿宋_GB2312" w:hAnsi="仿宋_GB2312" w:cs="仿宋_GB2312" w:eastAsia="仿宋_GB2312"/>
        </w:rPr>
        <w:t>委托，拟对</w:t>
      </w:r>
      <w:r>
        <w:rPr>
          <w:rFonts w:ascii="仿宋_GB2312" w:hAnsi="仿宋_GB2312" w:cs="仿宋_GB2312" w:eastAsia="仿宋_GB2312"/>
        </w:rPr>
        <w:t>《关中盆地引汉济渭区域地下水动态监测评价》和《榆神府煤炭开采区地下水监测与保护研究》项目中2025年度水质和土壤样品分析测试</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0617-2522FZ1178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《关中盆地引汉济渭区域地下水动态监测评价》和《榆神府煤炭开采区地下水监测与保护研究》项目中2025年度水质和土壤样品分析测试</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工作实际情况，开展地下水质样品、地表水质样品、土壤样品、同位素样品等分析测试技术服务。本项目预算总金额为70.8万元，其中《关中盆地引汉济渭区域地下水动态监测评价》预算金额26.4万元，《榆神府煤炭开采区地下水监测与保护研究》预算金额44.4万元。具体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记录：供应商不得为“信用中国”网站（www.creditchina.gov.cn）列入失信被执行人、严重失信主体名单、重大税收违法失信主体供应商，不得为“中国政府采购网”（www.ccgp.gov.cn）政府采购严重违法失信行为记录中的供应商。</w:t>
      </w:r>
    </w:p>
    <w:p>
      <w:pPr>
        <w:pStyle w:val="null3"/>
      </w:pPr>
      <w:r>
        <w:rPr>
          <w:rFonts w:ascii="仿宋_GB2312" w:hAnsi="仿宋_GB2312" w:cs="仿宋_GB2312" w:eastAsia="仿宋_GB2312"/>
        </w:rPr>
        <w:t>2、法定代表人授权书及本单位证明：法定代表人参加磋商的，须出示身份证；法定代表人授权他人参加磋商的，须提供法定代表人授权委托书、被授权人身份证及被授权人本单位证明 (近开标时间1个月社保缴纳证明)。</w:t>
      </w:r>
    </w:p>
    <w:p>
      <w:pPr>
        <w:pStyle w:val="null3"/>
      </w:pPr>
      <w:r>
        <w:rPr>
          <w:rFonts w:ascii="仿宋_GB2312" w:hAnsi="仿宋_GB2312" w:cs="仿宋_GB2312" w:eastAsia="仿宋_GB2312"/>
        </w:rPr>
        <w:t>3、资质认定证书：供应商应具备检验检测机构资质认定证书（CMA）</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省地质环境监测总站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陕西省西安市碑林区雁塔北路100号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李文莉、陶福平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029-87851090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程佳、张勃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029-85592868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关于印发《招标代理服务收费管理暂行办法》的通知（计价格〔2002〕1980号）、《国家发展和改革委员会办公厅关于招标代理服务收费有关问题的通知》（发改办价格〔2003〕857号）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省地质环境监测总站</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省地质环境监测总站</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省地质环境监测总站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符合现行的国家标准或国家行政部门颁布的法律法规、规章制度以及行业标准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工作实际情况，开展地下水质样品、地表水质样品、土壤样品、同位素样品等分析测试技术服务。本项目预算总金额为70.8万元，其中《关中盆地引汉济渭区域地下水动态监测评价》预算金额26.4万元，《榆神府煤炭开采区地下水监测与保护研究》预算金额44.4万元。具体详见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708,000.00</w:t>
      </w:r>
    </w:p>
    <w:p>
      <w:pPr>
        <w:pStyle w:val="null3"/>
      </w:pPr>
      <w:r>
        <w:rPr>
          <w:rFonts w:ascii="仿宋_GB2312" w:hAnsi="仿宋_GB2312" w:cs="仿宋_GB2312" w:eastAsia="仿宋_GB2312"/>
        </w:rPr>
        <w:t>采购包最高限价（元）: 708,000.00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关中盆地引汉济渭区域地下水动态监测评价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榆神府煤炭开采区地下水监测与保护研究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标的名称：关中盆地引汉济渭区域地下水动态监测评价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根据2025年度工作方案和项目需要，需开展地下水质样品、地表水质样品、土壤样品、同位素样品等分析测试。</w:t>
            </w:r>
          </w:p>
          <w:p>
            <w:pPr>
              <w:pStyle w:val="null3"/>
              <w:ind w:firstLine="402"/>
              <w:jc w:val="both"/>
            </w:pPr>
            <w:r>
              <w:rPr>
                <w:rFonts w:ascii="仿宋_GB2312" w:hAnsi="仿宋_GB2312" w:cs="仿宋_GB2312" w:eastAsia="仿宋_GB2312"/>
                <w:sz w:val="20"/>
                <w:b/>
              </w:rPr>
              <w:t>一、具体测试指标及数量</w:t>
            </w:r>
          </w:p>
          <w:p>
            <w:pPr>
              <w:pStyle w:val="null3"/>
              <w:ind w:firstLine="402"/>
              <w:jc w:val="center"/>
            </w:pPr>
            <w:r>
              <w:rPr>
                <w:rFonts w:ascii="仿宋_GB2312" w:hAnsi="仿宋_GB2312" w:cs="仿宋_GB2312" w:eastAsia="仿宋_GB2312"/>
                <w:sz w:val="20"/>
                <w:b/>
              </w:rPr>
              <w:t>（一）关中盆地引汉济渭区域地下水动态监测评价</w:t>
            </w:r>
          </w:p>
          <w:p>
            <w:pPr>
              <w:pStyle w:val="null3"/>
              <w:ind w:firstLine="400"/>
              <w:jc w:val="both"/>
            </w:pPr>
            <w:r>
              <w:rPr>
                <w:rFonts w:ascii="仿宋_GB2312" w:hAnsi="仿宋_GB2312" w:cs="仿宋_GB2312" w:eastAsia="仿宋_GB2312"/>
                <w:sz w:val="20"/>
              </w:rPr>
              <w:t>根据2025年度工作需求，本项目须完成200套地下水质样品37项常规指标分析，20套地表水质样品37项常规指标分析，20套土壤样品23项常规指标分析,40套氘氧同位素样品指标分析测试。具体指标如下：</w:t>
            </w:r>
          </w:p>
          <w:p>
            <w:pPr>
              <w:pStyle w:val="null3"/>
              <w:ind w:firstLine="400"/>
              <w:jc w:val="both"/>
            </w:pPr>
            <w:r>
              <w:rPr>
                <w:rFonts w:ascii="仿宋_GB2312" w:hAnsi="仿宋_GB2312" w:cs="仿宋_GB2312" w:eastAsia="仿宋_GB2312"/>
                <w:sz w:val="20"/>
              </w:rPr>
              <w:t>（1）地下水、地表水37项常规分析指标包括:色、嗅和味、浑浊度、肉眼可见物、pH、总硬度、溶解性总固体、硫酸盐、氯化物、铁、锰、铜、锌、铝、挥发性酚类、阴离子合成洗涤剂、耗氧量、氨氮、硫化物、钠、亚硝酸盐、硝酸盐、氰化物、氟化物、碘化物、汞、砷、硒、镉、铬、铅、钾、钙、镁、重碳酸根、碳酸根、游离二氧化碳。</w:t>
            </w:r>
          </w:p>
          <w:p>
            <w:pPr>
              <w:pStyle w:val="null3"/>
              <w:ind w:firstLine="400"/>
              <w:jc w:val="both"/>
            </w:pPr>
            <w:r>
              <w:rPr>
                <w:rFonts w:ascii="仿宋_GB2312" w:hAnsi="仿宋_GB2312" w:cs="仿宋_GB2312" w:eastAsia="仿宋_GB2312"/>
                <w:sz w:val="20"/>
              </w:rPr>
              <w:t>（2）23项土壤分析指标包括：pH、SO</w:t>
            </w:r>
            <w:r>
              <w:rPr>
                <w:rFonts w:ascii="仿宋_GB2312" w:hAnsi="仿宋_GB2312" w:cs="仿宋_GB2312" w:eastAsia="仿宋_GB2312"/>
                <w:sz w:val="20"/>
                <w:vertAlign w:val="subscript"/>
              </w:rPr>
              <w:t>4</w:t>
            </w:r>
            <w:r>
              <w:rPr>
                <w:rFonts w:ascii="仿宋_GB2312" w:hAnsi="仿宋_GB2312" w:cs="仿宋_GB2312" w:eastAsia="仿宋_GB2312"/>
                <w:sz w:val="20"/>
                <w:vertAlign w:val="superscript"/>
              </w:rPr>
              <w:t>2-</w:t>
            </w:r>
            <w:r>
              <w:rPr>
                <w:rFonts w:ascii="仿宋_GB2312" w:hAnsi="仿宋_GB2312" w:cs="仿宋_GB2312" w:eastAsia="仿宋_GB2312"/>
                <w:sz w:val="20"/>
              </w:rPr>
              <w:t>、CI</w:t>
            </w:r>
            <w:r>
              <w:rPr>
                <w:rFonts w:ascii="仿宋_GB2312" w:hAnsi="仿宋_GB2312" w:cs="仿宋_GB2312" w:eastAsia="仿宋_GB2312"/>
                <w:sz w:val="20"/>
                <w:vertAlign w:val="superscript"/>
              </w:rPr>
              <w:t>-</w:t>
            </w:r>
            <w:r>
              <w:rPr>
                <w:rFonts w:ascii="仿宋_GB2312" w:hAnsi="仿宋_GB2312" w:cs="仿宋_GB2312" w:eastAsia="仿宋_GB2312"/>
                <w:sz w:val="20"/>
              </w:rPr>
              <w:t>、HCO</w:t>
            </w:r>
            <w:r>
              <w:rPr>
                <w:rFonts w:ascii="仿宋_GB2312" w:hAnsi="仿宋_GB2312" w:cs="仿宋_GB2312" w:eastAsia="仿宋_GB2312"/>
                <w:sz w:val="20"/>
                <w:vertAlign w:val="subscript"/>
              </w:rPr>
              <w:t>3</w:t>
            </w:r>
            <w:r>
              <w:rPr>
                <w:rFonts w:ascii="仿宋_GB2312" w:hAnsi="仿宋_GB2312" w:cs="仿宋_GB2312" w:eastAsia="仿宋_GB2312"/>
                <w:sz w:val="20"/>
                <w:vertAlign w:val="superscript"/>
              </w:rPr>
              <w:t>-</w:t>
            </w:r>
            <w:r>
              <w:rPr>
                <w:rFonts w:ascii="仿宋_GB2312" w:hAnsi="仿宋_GB2312" w:cs="仿宋_GB2312" w:eastAsia="仿宋_GB2312"/>
                <w:sz w:val="20"/>
              </w:rPr>
              <w:t>、Na</w:t>
            </w:r>
            <w:r>
              <w:rPr>
                <w:rFonts w:ascii="仿宋_GB2312" w:hAnsi="仿宋_GB2312" w:cs="仿宋_GB2312" w:eastAsia="仿宋_GB2312"/>
                <w:sz w:val="20"/>
                <w:vertAlign w:val="superscript"/>
              </w:rPr>
              <w:t>+</w:t>
            </w:r>
            <w:r>
              <w:rPr>
                <w:rFonts w:ascii="仿宋_GB2312" w:hAnsi="仿宋_GB2312" w:cs="仿宋_GB2312" w:eastAsia="仿宋_GB2312"/>
                <w:sz w:val="20"/>
              </w:rPr>
              <w:t>、Ca</w:t>
            </w:r>
            <w:r>
              <w:rPr>
                <w:rFonts w:ascii="仿宋_GB2312" w:hAnsi="仿宋_GB2312" w:cs="仿宋_GB2312" w:eastAsia="仿宋_GB2312"/>
                <w:sz w:val="20"/>
                <w:vertAlign w:val="superscript"/>
              </w:rPr>
              <w:t>2+</w:t>
            </w:r>
            <w:r>
              <w:rPr>
                <w:rFonts w:ascii="仿宋_GB2312" w:hAnsi="仿宋_GB2312" w:cs="仿宋_GB2312" w:eastAsia="仿宋_GB2312"/>
                <w:sz w:val="20"/>
              </w:rPr>
              <w:t>、Mg</w:t>
            </w:r>
            <w:r>
              <w:rPr>
                <w:rFonts w:ascii="仿宋_GB2312" w:hAnsi="仿宋_GB2312" w:cs="仿宋_GB2312" w:eastAsia="仿宋_GB2312"/>
                <w:sz w:val="20"/>
                <w:vertAlign w:val="superscript"/>
              </w:rPr>
              <w:t>2+</w:t>
            </w:r>
            <w:r>
              <w:rPr>
                <w:rFonts w:ascii="仿宋_GB2312" w:hAnsi="仿宋_GB2312" w:cs="仿宋_GB2312" w:eastAsia="仿宋_GB2312"/>
                <w:sz w:val="20"/>
              </w:rPr>
              <w:t>、K</w:t>
            </w:r>
            <w:r>
              <w:rPr>
                <w:rFonts w:ascii="仿宋_GB2312" w:hAnsi="仿宋_GB2312" w:cs="仿宋_GB2312" w:eastAsia="仿宋_GB2312"/>
                <w:sz w:val="20"/>
                <w:vertAlign w:val="superscript"/>
              </w:rPr>
              <w:t>+</w:t>
            </w:r>
            <w:r>
              <w:rPr>
                <w:rFonts w:ascii="仿宋_GB2312" w:hAnsi="仿宋_GB2312" w:cs="仿宋_GB2312" w:eastAsia="仿宋_GB2312"/>
                <w:sz w:val="20"/>
              </w:rPr>
              <w:t>、水溶性氟化物、Fe、Mn、Cd、Cr、As、Cu、Zn、Hg、总氟化物、硝态氮、铵态氮、全盐量、CO</w:t>
            </w:r>
            <w:r>
              <w:rPr>
                <w:rFonts w:ascii="仿宋_GB2312" w:hAnsi="仿宋_GB2312" w:cs="仿宋_GB2312" w:eastAsia="仿宋_GB2312"/>
                <w:sz w:val="20"/>
                <w:vertAlign w:val="subscript"/>
              </w:rPr>
              <w:t>3</w:t>
            </w:r>
            <w:r>
              <w:rPr>
                <w:rFonts w:ascii="仿宋_GB2312" w:hAnsi="仿宋_GB2312" w:cs="仿宋_GB2312" w:eastAsia="仿宋_GB2312"/>
                <w:sz w:val="20"/>
                <w:vertAlign w:val="superscript"/>
              </w:rPr>
              <w:t>-</w:t>
            </w:r>
            <w:r>
              <w:rPr>
                <w:rFonts w:ascii="仿宋_GB2312" w:hAnsi="仿宋_GB2312" w:cs="仿宋_GB2312" w:eastAsia="仿宋_GB2312"/>
                <w:sz w:val="20"/>
              </w:rPr>
              <w:t>、全氮含量。</w:t>
            </w:r>
          </w:p>
          <w:p>
            <w:pPr>
              <w:pStyle w:val="null3"/>
            </w:pPr>
            <w:r>
              <w:rPr>
                <w:rFonts w:ascii="仿宋_GB2312" w:hAnsi="仿宋_GB2312" w:cs="仿宋_GB2312" w:eastAsia="仿宋_GB2312"/>
                <w:sz w:val="20"/>
              </w:rPr>
              <w:t>（3）同位素样品分析指标包括：D、</w:t>
            </w:r>
            <w:r>
              <w:rPr>
                <w:rFonts w:ascii="仿宋_GB2312" w:hAnsi="仿宋_GB2312" w:cs="仿宋_GB2312" w:eastAsia="仿宋_GB2312"/>
                <w:sz w:val="20"/>
                <w:vertAlign w:val="superscript"/>
              </w:rPr>
              <w:t>18</w:t>
            </w:r>
            <w:r>
              <w:rPr>
                <w:rFonts w:ascii="仿宋_GB2312" w:hAnsi="仿宋_GB2312" w:cs="仿宋_GB2312" w:eastAsia="仿宋_GB2312"/>
                <w:sz w:val="20"/>
              </w:rPr>
              <w:t>O。根据同位素测试结果分析工作区地下水来源，以及地下水与地表水转化关系。</w:t>
            </w:r>
          </w:p>
        </w:tc>
      </w:tr>
    </w:tbl>
    <w:p>
      <w:pPr>
        <w:pStyle w:val="null3"/>
      </w:pPr>
      <w:r>
        <w:rPr>
          <w:rFonts w:ascii="仿宋_GB2312" w:hAnsi="仿宋_GB2312" w:cs="仿宋_GB2312" w:eastAsia="仿宋_GB2312"/>
        </w:rPr>
        <w:t>标的名称：榆神府煤炭开采区地下水监测与保护研究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center"/>
            </w:pPr>
            <w:r>
              <w:rPr>
                <w:rFonts w:ascii="仿宋_GB2312" w:hAnsi="仿宋_GB2312" w:cs="仿宋_GB2312" w:eastAsia="仿宋_GB2312"/>
                <w:sz w:val="20"/>
                <w:b/>
              </w:rPr>
              <w:t>（二）榆神府煤炭开采区地下水监测与保护研究</w:t>
            </w:r>
          </w:p>
          <w:p>
            <w:pPr>
              <w:pStyle w:val="null3"/>
              <w:ind w:firstLine="400"/>
              <w:jc w:val="both"/>
            </w:pPr>
            <w:r>
              <w:rPr>
                <w:rFonts w:ascii="仿宋_GB2312" w:hAnsi="仿宋_GB2312" w:cs="仿宋_GB2312" w:eastAsia="仿宋_GB2312"/>
                <w:sz w:val="20"/>
              </w:rPr>
              <w:t>根据2025年度工作需求，本项目须完成240套地下水质样品37项常规指标分析，120套同位素T、D、</w:t>
            </w:r>
            <w:r>
              <w:rPr>
                <w:rFonts w:ascii="仿宋_GB2312" w:hAnsi="仿宋_GB2312" w:cs="仿宋_GB2312" w:eastAsia="仿宋_GB2312"/>
                <w:sz w:val="20"/>
                <w:vertAlign w:val="superscript"/>
              </w:rPr>
              <w:t>18</w:t>
            </w:r>
            <w:r>
              <w:rPr>
                <w:rFonts w:ascii="仿宋_GB2312" w:hAnsi="仿宋_GB2312" w:cs="仿宋_GB2312" w:eastAsia="仿宋_GB2312"/>
                <w:sz w:val="20"/>
              </w:rPr>
              <w:t>O样品分析测试。具体指标如下：</w:t>
            </w:r>
          </w:p>
          <w:p>
            <w:pPr>
              <w:pStyle w:val="null3"/>
              <w:ind w:firstLine="400"/>
              <w:jc w:val="both"/>
            </w:pPr>
            <w:r>
              <w:rPr>
                <w:rFonts w:ascii="仿宋_GB2312" w:hAnsi="仿宋_GB2312" w:cs="仿宋_GB2312" w:eastAsia="仿宋_GB2312"/>
                <w:sz w:val="20"/>
              </w:rPr>
              <w:t>（1）地下水质样品37项常规指标包括:色、嗅和味、浑浊度、肉眼可见物、pH、总硬度、溶解性总固体、硫酸盐、氯化物、铁、锰、铜、锌、铝、挥发性酚类、阴离子合成洗涤剂、耗氧量、氨氮、硫化物、钠、亚硝酸盐、硝酸盐、氰化物、氟化物、碘化物、汞、砷、硒、镉、铬、铅、钾、钙、镁、重碳酸根、碳酸根、游离二氧化碳。</w:t>
            </w:r>
          </w:p>
          <w:p>
            <w:pPr>
              <w:pStyle w:val="null3"/>
            </w:pPr>
            <w:r>
              <w:rPr>
                <w:rFonts w:ascii="仿宋_GB2312" w:hAnsi="仿宋_GB2312" w:cs="仿宋_GB2312" w:eastAsia="仿宋_GB2312"/>
                <w:sz w:val="20"/>
              </w:rPr>
              <w:t>（2）同位素样品分析指标包括：T、D、</w:t>
            </w:r>
            <w:r>
              <w:rPr>
                <w:rFonts w:ascii="仿宋_GB2312" w:hAnsi="仿宋_GB2312" w:cs="仿宋_GB2312" w:eastAsia="仿宋_GB2312"/>
                <w:sz w:val="20"/>
                <w:vertAlign w:val="superscript"/>
              </w:rPr>
              <w:t>18</w:t>
            </w:r>
            <w:r>
              <w:rPr>
                <w:rFonts w:ascii="仿宋_GB2312" w:hAnsi="仿宋_GB2312" w:cs="仿宋_GB2312" w:eastAsia="仿宋_GB2312"/>
                <w:sz w:val="20"/>
              </w:rPr>
              <w:t>O。根据同位素测试结果，分析不同含水层地下水补给来源，定性或半定量计算不同地下水的年龄等，判别不同含水层之间的水力联系。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满足项目实施基本要求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满足项目实施基本要求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按照项目内容和要求提供符合现行的国家标准或国家行政部门颁布的法律法规、规章制度以及行业标准的服务。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合同签订生效后3日内，乙方向甲方开具合同总金额70%的增值税普通发票，甲方在收到发票后7个工作日内向乙方约定的账户支付合同总金额70％费用</w:t>
      </w:r>
      <w:r>
        <w:rPr>
          <w:rFonts w:ascii="仿宋_GB2312" w:hAnsi="仿宋_GB2312" w:cs="仿宋_GB2312" w:eastAsia="仿宋_GB2312"/>
        </w:rPr>
        <w:t xml:space="preserve"> ，达到付款条件起 </w:t>
      </w:r>
      <w:r>
        <w:rPr>
          <w:rFonts w:ascii="仿宋_GB2312" w:hAnsi="仿宋_GB2312" w:cs="仿宋_GB2312" w:eastAsia="仿宋_GB2312"/>
        </w:rPr>
        <w:t>9</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乙方完成合同约定的全部目标任务并提交分析测试报告后，乙方向甲方开具合同总金额30％的增值税普通发票，甲方在收到发票后7个工作日内向乙方支付合同总金额30%。</w:t>
      </w:r>
      <w:r>
        <w:rPr>
          <w:rFonts w:ascii="仿宋_GB2312" w:hAnsi="仿宋_GB2312" w:cs="仿宋_GB2312" w:eastAsia="仿宋_GB2312"/>
        </w:rPr>
        <w:t xml:space="preserve"> ，达到付款条件起 </w:t>
      </w:r>
      <w:r>
        <w:rPr>
          <w:rFonts w:ascii="仿宋_GB2312" w:hAnsi="仿宋_GB2312" w:cs="仿宋_GB2312" w:eastAsia="仿宋_GB2312"/>
        </w:rPr>
        <w:t>9</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（一）提供注册登记凭证（营业执照、其他组织经营的合法凭证，自然人的提供身份证明文件）。 （二）具有良好的商业信誉和健全的财务会计制度。提供2023年度或2024年度经审计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声明；以上四种形式的资料提供任何一种即可。 （三）具有履行合同所必需的设备和专业技术能力。提供声明文件。 （四）具有依法缴纳税收的良好记录。提供缴费所属日期为磋商时间前12个月内任一月份（磋商时间当月不计入）的增值税（或所得税）缴费凭据或税务机关出具的完税证明/在法规范围内不需提供的应出具书面说明和证明文件/或具有依法缴纳税收的诚信声明。 （五）具有依法缴纳社会保障资金的良好记录。提供缴费所属日期为磋商时间前12个月内任一月份（磋商截止时间当月不计入）的缴费凭据或社保机关出具的缴费证明/在法规范围内不需提供的应出具书面说明和证明文件/或具有依法缴纳社会保障资金的缴纳记录的诚信声明。 （六）参加政府采购活动前3年内在经营活动中没有重大违法记录的书面声明。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信用查询记录</w:t>
            </w:r>
          </w:p>
        </w:tc>
        <w:tc>
          <w:tcPr>
            <w:tcW w:type="dxa" w:w="3322"/>
          </w:tcPr>
          <w:p>
            <w:pPr>
              <w:pStyle w:val="null3"/>
            </w:pPr>
            <w:r>
              <w:rPr>
                <w:rFonts w:ascii="仿宋_GB2312" w:hAnsi="仿宋_GB2312" w:cs="仿宋_GB2312" w:eastAsia="仿宋_GB2312"/>
              </w:rPr>
              <w:t>供应商不得为“信用中国”网站（www.creditchina.gov.cn）列入失信被执行人、严重失信主体名单、重大税收违法失信主体供应商，不得为“中国政府采购网”（www.ccgp.gov.cn）政府采购严重违法失信行为记录中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法定代表人授权书及本单位证明</w:t>
            </w:r>
          </w:p>
        </w:tc>
        <w:tc>
          <w:tcPr>
            <w:tcW w:type="dxa" w:w="3322"/>
          </w:tcPr>
          <w:p>
            <w:pPr>
              <w:pStyle w:val="null3"/>
            </w:pPr>
            <w:r>
              <w:rPr>
                <w:rFonts w:ascii="仿宋_GB2312" w:hAnsi="仿宋_GB2312" w:cs="仿宋_GB2312" w:eastAsia="仿宋_GB2312"/>
              </w:rPr>
              <w:t>法定代表人参加磋商的，须出示身份证；法定代表人授权他人参加磋商的，须提供法定代表人授权委托书、被授权人身份证及被授权人本单位证明 (近开标时间1个月社保缴纳证明)。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资质认定证书</w:t>
            </w:r>
          </w:p>
        </w:tc>
        <w:tc>
          <w:tcPr>
            <w:tcW w:type="dxa" w:w="3322"/>
          </w:tcPr>
          <w:p>
            <w:pPr>
              <w:pStyle w:val="null3"/>
            </w:pPr>
            <w:r>
              <w:rPr>
                <w:rFonts w:ascii="仿宋_GB2312" w:hAnsi="仿宋_GB2312" w:cs="仿宋_GB2312" w:eastAsia="仿宋_GB2312"/>
              </w:rPr>
              <w:t>供应商应具备检验检测机构资质认定证书（CMA）</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磋商响应文件的完整性、有效性、响应性审查</w:t>
            </w:r>
          </w:p>
        </w:tc>
        <w:tc>
          <w:tcPr>
            <w:tcW w:type="dxa" w:w="3322"/>
          </w:tcPr>
          <w:p>
            <w:pPr>
              <w:pStyle w:val="null3"/>
            </w:pPr>
            <w:r>
              <w:rPr>
                <w:rFonts w:ascii="仿宋_GB2312" w:hAnsi="仿宋_GB2312" w:cs="仿宋_GB2312" w:eastAsia="仿宋_GB2312"/>
              </w:rPr>
              <w:t>磋商响应文件是否按照磋商文件要求的格式编写。磋商响应文件的签署、加盖印章是否有效。磋商报价是否未超过采购预算；磋商报价有效期是否符合磋商文件的要求；是否响应拟签订采购合同文本中★号内容。</w:t>
            </w:r>
          </w:p>
        </w:tc>
        <w:tc>
          <w:tcPr>
            <w:tcW w:type="dxa" w:w="1661"/>
          </w:tcPr>
          <w:p>
            <w:pPr>
              <w:pStyle w:val="null3"/>
            </w:pPr>
            <w:r>
              <w:rPr>
                <w:rFonts w:ascii="仿宋_GB2312" w:hAnsi="仿宋_GB2312" w:cs="仿宋_GB2312" w:eastAsia="仿宋_GB2312"/>
              </w:rPr>
              <w:t>响应文件封面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需求理解及分析</w:t>
            </w:r>
          </w:p>
        </w:tc>
        <w:tc>
          <w:tcPr>
            <w:tcW w:type="dxa" w:w="2492"/>
          </w:tcPr>
          <w:p>
            <w:pPr>
              <w:pStyle w:val="null3"/>
            </w:pPr>
            <w:r>
              <w:rPr>
                <w:rFonts w:ascii="仿宋_GB2312" w:hAnsi="仿宋_GB2312" w:cs="仿宋_GB2312" w:eastAsia="仿宋_GB2312"/>
              </w:rPr>
              <w:t>一、评审内容 供应商针对本项目有正确全面的理解，能正确分析项目相关情况包括①工作内容②工作目标③服务特点④需求理解分析⑤重难点分析。 二、评审标准 方案各项内容全面详细、阐述条理清晰详尽、符合本项目采购需求、能有效保障本项目实施得10分，每有一个缺项扣2分，每有一项内容存在缺陷，扣0.5-1分，扣完为止。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供应商针对本项目提供具体详实的实施方案，包括①测试方法及步骤②数据报告的撰写及提交③数据审核④报告报送。 二、评审标准 各项内容全面详细、阐述条理清晰详尽、符合本项目采购需求、能有效保障本项目实施得16分，每有一个缺项扣4分，每有一项内容存在缺陷，扣0.5-3分，扣完为止。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一、评审内容 供应商针对本项目提供进度保障措施，包含①工作计划②职责分工③团队协作机制④时间安排⑤实施周期。 二、评审标准 各项内容全面详细、阐述条理清晰详尽、符合本项目采购需求、能有效保障本项目实施得15分，每有一个缺项扣3分，每有一项内容存在缺陷，扣0.5-2分，扣完为止。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供应商针对本项目提供质量保障措施，包含①测试使用的仪器设备②测试数据保障方案③测试过程中的问题处理流程④样品质控措施⑤实验室质控措施⑥合理化建议。 二、评审标准 各项内容全面详细、阐述条理清晰详尽、符合本项目采购需求、能有效保障本项目实施得12分，每有一个缺项扣2分，每有一项内容存在缺陷，扣0.5-1分，扣完为止。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一、评审内容 1、供应商提供针对本项目拟派服务人员配备清单（清单内容至少包含：具体成员姓名、年龄、工作年限、参与项目情况表；并提供证明材料：身份证明、学历证明）计3分。 2、项目负责人（1人）：具有实验测试类高级工程师证书得3分。 3、项目组成员（不含项目负责人）：每有一人具备相关专业中级职称的得1分，最多可得3分 。</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供应商针对本项目提供应急预案，包括①未经授权情况下的数据泄密措施②其他项目实施过程中对所有可能出现的问题解决办法③验收措施。 二、评审标准 各项内容全面详细、阐述条理清晰详尽、符合本项目采购需求、能有效保障本项目实施得9分，每有一个缺项扣3分，每有一项内容存在缺陷，扣0.5-2分，扣完为止。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供应商针对本项目提供保密措施，包括①保密前提下数据传输方案②实施过程中保密措施③实施完成后的保密措施 二、评审标准 各项内容全面详细、阐述条理清晰详尽、符合本项目采购需求、能有效保障本项目实施得9分，每有一个缺项扣3分，每有一项内容存在缺陷，扣0.5-2分，扣完为止。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供应商具有（2021年1月1日至今）的类似项目业绩（时间以合同签订日期为准），提供1份得1分，满分5分。 备注：以上证明材料须提供合同复印件并加盖供应商单位公章，否则不得分。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1.满足磋商文件实质性要求且最终报价最低的供应商的价格为磋商基准价，其价格分为满分15分。2.磋商总报价得分=(磋商基准价／最终磋商总报价)×15。注：计算分数时四舍五入取小数点后两位。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