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版本号：ZX2025-04-6220250528001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2025年陕西省生态环境质量改善技术支撑综合项目一陕西省声环境功能区划分“一张图”工作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ZX2025-04-62</w:t>
      </w:r>
      <w:r>
        <w:br/>
      </w:r>
      <w:r>
        <w:br/>
      </w:r>
      <w:r>
        <w:br/>
      </w:r>
    </w:p>
    <w:p>
      <w:pPr>
        <w:pStyle w:val="null3"/>
        <w:jc w:val="center"/>
        <w:outlineLvl w:val="2"/>
      </w:pPr>
      <w:r>
        <w:rPr>
          <w:rFonts w:ascii="仿宋_GB2312" w:hAnsi="仿宋_GB2312" w:cs="仿宋_GB2312" w:eastAsia="仿宋_GB2312"/>
          <w:sz w:val="28"/>
          <w:b/>
        </w:rPr>
        <w:t>陕西省环境调查评估中心</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陕西省环境调查评估中心</w:t>
      </w:r>
      <w:r>
        <w:rPr>
          <w:rFonts w:ascii="仿宋_GB2312" w:hAnsi="仿宋_GB2312" w:cs="仿宋_GB2312" w:eastAsia="仿宋_GB2312"/>
        </w:rPr>
        <w:t>委托，拟对</w:t>
      </w:r>
      <w:r>
        <w:rPr>
          <w:rFonts w:ascii="仿宋_GB2312" w:hAnsi="仿宋_GB2312" w:cs="仿宋_GB2312" w:eastAsia="仿宋_GB2312"/>
        </w:rPr>
        <w:t>2025年陕西省生态环境质量改善技术支撑综合项目一陕西省声环境功能区划分“一张图”工作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ZX2025-04-62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2025年陕西省生态环境质量改善技术支撑综合项目一陕西省声环境功能区划分“一张图”工作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2025年陕西省生态环境质量改善技术支撑综合项目——陕西省声环境功能区划分“一张图”工作，旨在开展陕西省声环境功能区划分“一张图”工作、制定“陕西省噪声敏感建筑物集中区域划定技术指南”。具体详见采购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采购包1（2025年陕西省生态环境质量改善技术支撑综合项目一陕西省声环境功能区划分“一张图”工作）：属于专门面向中小企业采购。</w:t>
      </w:r>
    </w:p>
    <w:p>
      <w:pPr>
        <w:pStyle w:val="null3"/>
      </w:pPr>
      <w:r>
        <w:rPr>
          <w:rFonts w:ascii="仿宋_GB2312" w:hAnsi="仿宋_GB2312" w:cs="仿宋_GB2312" w:eastAsia="仿宋_GB2312"/>
        </w:rPr>
        <w:t>供应商合同分包的，分包意向协议中分包意向供应商应当为中小企业。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1、法定代表人授权委托书：法定代表人参加磋商的，须提供法定代表人身份证；法定代表人授权本单位他人参加磋商的，须提供法定代表人授权委托书。</w:t>
      </w:r>
    </w:p>
    <w:p>
      <w:pPr>
        <w:pStyle w:val="null3"/>
      </w:pPr>
      <w:r>
        <w:rPr>
          <w:rFonts w:ascii="仿宋_GB2312" w:hAnsi="仿宋_GB2312" w:cs="仿宋_GB2312" w:eastAsia="仿宋_GB2312"/>
        </w:rPr>
        <w:t>2、本项目不接受联合体投标：本项目不接受联合体投标，供应商应提供《非联合体投标声明》。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陕西省环境调查评估中心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陕西省西安市雁塔区西影路106号环保大楼13层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029-85429511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孙童欣 张爽 马演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采购包1保证金金额：10,462.00元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代理服务费收费标准：参照国家计委计价格[2002]1980号及发改办价格[2003]857号通知规定，由成交供应商支付代理服务费。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陕西省环境调查评估中心</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陕西省环境调查评估中心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陕西省环境调查评估中心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采购包1：分包比例100%；资质要求详见第4章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按照磋商文件、供应商响应文件及合同文本执行。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联系人：马演、孙童欣</w:t>
      </w:r>
    </w:p>
    <w:p>
      <w:pPr>
        <w:pStyle w:val="null3"/>
      </w:pPr>
      <w:r>
        <w:rPr>
          <w:rFonts w:ascii="仿宋_GB2312" w:hAnsi="仿宋_GB2312" w:cs="仿宋_GB2312" w:eastAsia="仿宋_GB2312"/>
        </w:rPr>
        <w:t>联系电话：029-88110800转8033（1053910307@qq.com）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2025年陕西省生态环境质量改善技术支撑综合项目——陕西省声环境功能区划分“一张图”工作，旨在开展陕西省声环境功能区划分“一张图”工作、制定“陕西省噪声敏感建筑物集中区域划定技术指南”。</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565,000.00</w:t>
      </w:r>
    </w:p>
    <w:p>
      <w:pPr>
        <w:pStyle w:val="null3"/>
      </w:pPr>
      <w:r>
        <w:rPr>
          <w:rFonts w:ascii="仿宋_GB2312" w:hAnsi="仿宋_GB2312" w:cs="仿宋_GB2312" w:eastAsia="仿宋_GB2312"/>
        </w:rPr>
        <w:t>采购包最高限价（元）: 565,000.00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2025年陕西省生态环境质量改善技术支撑综合项目一陕西省声环境功能区划分“一张图”工作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标的名称：2025年陕西省生态环境质量改善技术支撑综合项目一陕西省声环境功能区划分“一张图”工作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一、服务范围：</w:t>
            </w:r>
          </w:p>
          <w:p>
            <w:pPr>
              <w:pStyle w:val="null3"/>
            </w:pPr>
            <w:r>
              <w:rPr>
                <w:rFonts w:ascii="仿宋_GB2312" w:hAnsi="仿宋_GB2312" w:cs="仿宋_GB2312" w:eastAsia="仿宋_GB2312"/>
              </w:rPr>
              <w:t>覆盖陕西省境内各地级市、县级行政区的声环境功能区划调查范围，噪声敏感建筑物集中区域和宁静小区调查范围。</w:t>
            </w:r>
          </w:p>
          <w:p>
            <w:pPr>
              <w:pStyle w:val="null3"/>
            </w:pPr>
            <w:r>
              <w:rPr>
                <w:rFonts w:ascii="仿宋_GB2312" w:hAnsi="仿宋_GB2312" w:cs="仿宋_GB2312" w:eastAsia="仿宋_GB2312"/>
              </w:rPr>
              <w:t>二、服务标准技术依据：</w:t>
            </w:r>
          </w:p>
          <w:p>
            <w:pPr>
              <w:pStyle w:val="null3"/>
            </w:pPr>
            <w:r>
              <w:rPr>
                <w:rFonts w:ascii="仿宋_GB2312" w:hAnsi="仿宋_GB2312" w:cs="仿宋_GB2312" w:eastAsia="仿宋_GB2312"/>
              </w:rPr>
              <w:t>1.《中华人民共和国噪声污染防治法》（2022年6月施行）</w:t>
            </w:r>
          </w:p>
          <w:p>
            <w:pPr>
              <w:pStyle w:val="null3"/>
            </w:pPr>
            <w:r>
              <w:rPr>
                <w:rFonts w:ascii="仿宋_GB2312" w:hAnsi="仿宋_GB2312" w:cs="仿宋_GB2312" w:eastAsia="仿宋_GB2312"/>
              </w:rPr>
              <w:t>2.《陕西省噪声污染防治行动计划（2023-2025年）》（陕环发〔2023〕35号）</w:t>
            </w:r>
          </w:p>
          <w:p>
            <w:pPr>
              <w:pStyle w:val="null3"/>
            </w:pPr>
            <w:r>
              <w:rPr>
                <w:rFonts w:ascii="仿宋_GB2312" w:hAnsi="仿宋_GB2312" w:cs="仿宋_GB2312" w:eastAsia="仿宋_GB2312"/>
              </w:rPr>
              <w:t>3.《声环境质量标准》（GB 3096-2008）</w:t>
            </w:r>
          </w:p>
          <w:p>
            <w:pPr>
              <w:pStyle w:val="null3"/>
            </w:pPr>
            <w:r>
              <w:rPr>
                <w:rFonts w:ascii="仿宋_GB2312" w:hAnsi="仿宋_GB2312" w:cs="仿宋_GB2312" w:eastAsia="仿宋_GB2312"/>
              </w:rPr>
              <w:t>4.《声环境功能区划分技术规范》（GB/T 15190-2014）</w:t>
            </w:r>
          </w:p>
          <w:p>
            <w:pPr>
              <w:pStyle w:val="null3"/>
            </w:pPr>
            <w:r>
              <w:rPr>
                <w:rFonts w:ascii="仿宋_GB2312" w:hAnsi="仿宋_GB2312" w:cs="仿宋_GB2312" w:eastAsia="仿宋_GB2312"/>
              </w:rPr>
              <w:t>5.生态环境部《关于推进宁静小区建设的指导意见（征求意见稿）》（2024年9月）</w:t>
            </w:r>
          </w:p>
          <w:p>
            <w:pPr>
              <w:pStyle w:val="null3"/>
            </w:pPr>
            <w:r>
              <w:rPr>
                <w:rFonts w:ascii="仿宋_GB2312" w:hAnsi="仿宋_GB2312" w:cs="仿宋_GB2312" w:eastAsia="仿宋_GB2312"/>
              </w:rPr>
              <w:t>三、技术服务内容：</w:t>
            </w:r>
          </w:p>
          <w:p>
            <w:pPr>
              <w:pStyle w:val="null3"/>
            </w:pPr>
            <w:r>
              <w:rPr>
                <w:rFonts w:ascii="仿宋_GB2312" w:hAnsi="仿宋_GB2312" w:cs="仿宋_GB2312" w:eastAsia="仿宋_GB2312"/>
              </w:rPr>
              <w:t>1.开展陕西省声环境功能区划分“一张图”工作</w:t>
            </w:r>
          </w:p>
          <w:p>
            <w:pPr>
              <w:pStyle w:val="null3"/>
            </w:pPr>
            <w:r>
              <w:rPr>
                <w:rFonts w:ascii="仿宋_GB2312" w:hAnsi="仿宋_GB2312" w:cs="仿宋_GB2312" w:eastAsia="仿宋_GB2312"/>
              </w:rPr>
              <w:t>开展噪声敏感建筑物集中区域和宁静小区等基础调查，在矢量化图件的基础上，明确声环境功能区划、声环境功能区划执行标准限值、噪声敏感建筑物集中区域、宁静小区分布及声环境质量监测体系有关情况，并在“一张图”中明确噪声污染防治管理工作相关信息内容。</w:t>
            </w:r>
          </w:p>
          <w:p>
            <w:pPr>
              <w:pStyle w:val="null3"/>
            </w:pPr>
            <w:r>
              <w:rPr>
                <w:rFonts w:ascii="仿宋_GB2312" w:hAnsi="仿宋_GB2312" w:cs="仿宋_GB2312" w:eastAsia="仿宋_GB2312"/>
              </w:rPr>
              <w:t>2.制定“陕西省噪声敏感建筑物集中区域划定技术指南”</w:t>
            </w:r>
          </w:p>
          <w:p>
            <w:pPr>
              <w:pStyle w:val="null3"/>
            </w:pPr>
            <w:r>
              <w:rPr>
                <w:rFonts w:ascii="仿宋_GB2312" w:hAnsi="仿宋_GB2312" w:cs="仿宋_GB2312" w:eastAsia="仿宋_GB2312"/>
              </w:rPr>
              <w:t>结合国家及其他省份噪声敏感建筑物集中区域划分技术文件，制定“陕西省噪声敏感建筑物集中区域划定技术指南”。</w:t>
            </w:r>
          </w:p>
          <w:p>
            <w:pPr>
              <w:pStyle w:val="null3"/>
            </w:pPr>
            <w:r>
              <w:rPr>
                <w:rFonts w:ascii="仿宋_GB2312" w:hAnsi="仿宋_GB2312" w:cs="仿宋_GB2312" w:eastAsia="仿宋_GB2312"/>
              </w:rPr>
              <w:t>四、服务要求：</w:t>
            </w:r>
          </w:p>
          <w:p>
            <w:pPr>
              <w:pStyle w:val="null3"/>
            </w:pPr>
            <w:r>
              <w:rPr>
                <w:rFonts w:ascii="仿宋_GB2312" w:hAnsi="仿宋_GB2312" w:cs="仿宋_GB2312" w:eastAsia="仿宋_GB2312"/>
              </w:rPr>
              <w:t>1.时间节点：</w:t>
            </w:r>
          </w:p>
          <w:p>
            <w:pPr>
              <w:pStyle w:val="null3"/>
            </w:pPr>
            <w:r>
              <w:rPr>
                <w:rFonts w:ascii="仿宋_GB2312" w:hAnsi="仿宋_GB2312" w:cs="仿宋_GB2312" w:eastAsia="仿宋_GB2312"/>
              </w:rPr>
              <w:t>合同签订后5个月内完成“一张图”系统框架设计及数据库建设，明确噪声污染防治管理工作相关信息内容；合同签订后5个月内完成“陕西省噪声敏感建筑物集中区域划定技术指南”初稿；合同签订后本年度内完成项目验收与成果交付。</w:t>
            </w:r>
          </w:p>
          <w:p>
            <w:pPr>
              <w:pStyle w:val="null3"/>
            </w:pPr>
            <w:r>
              <w:rPr>
                <w:rFonts w:ascii="仿宋_GB2312" w:hAnsi="仿宋_GB2312" w:cs="仿宋_GB2312" w:eastAsia="仿宋_GB2312"/>
              </w:rPr>
              <w:t>2.质量标准：</w:t>
            </w:r>
          </w:p>
          <w:p>
            <w:pPr>
              <w:pStyle w:val="null3"/>
            </w:pPr>
            <w:r>
              <w:rPr>
                <w:rFonts w:ascii="仿宋_GB2312" w:hAnsi="仿宋_GB2312" w:cs="仿宋_GB2312" w:eastAsia="仿宋_GB2312"/>
              </w:rPr>
              <w:t>（1）调查成果符合《声环境质量标准》（GB 3096-2008）、《声环境功能区划分技术规范》（GB/T 15190-2014）等规范；</w:t>
            </w:r>
          </w:p>
          <w:p>
            <w:pPr>
              <w:pStyle w:val="null3"/>
            </w:pPr>
            <w:r>
              <w:rPr>
                <w:rFonts w:ascii="仿宋_GB2312" w:hAnsi="仿宋_GB2312" w:cs="仿宋_GB2312" w:eastAsia="仿宋_GB2312"/>
              </w:rPr>
              <w:t>（2）“一张图”系统中噪声污染防治管理工作相关信息内容与基础数据相一致，并实现空间展示与查询功能（展示、数据可视化、定位查询）；</w:t>
            </w:r>
          </w:p>
          <w:p>
            <w:pPr>
              <w:pStyle w:val="null3"/>
            </w:pPr>
            <w:r>
              <w:rPr>
                <w:rFonts w:ascii="仿宋_GB2312" w:hAnsi="仿宋_GB2312" w:cs="仿宋_GB2312" w:eastAsia="仿宋_GB2312"/>
              </w:rPr>
              <w:t>（3）技术指南通过专家评审。</w:t>
            </w:r>
          </w:p>
          <w:p>
            <w:pPr>
              <w:pStyle w:val="null3"/>
            </w:pPr>
            <w:r>
              <w:rPr>
                <w:rFonts w:ascii="仿宋_GB2312" w:hAnsi="仿宋_GB2312" w:cs="仿宋_GB2312" w:eastAsia="仿宋_GB2312"/>
              </w:rPr>
              <w:t>五、成果要求：</w:t>
            </w:r>
          </w:p>
          <w:p>
            <w:pPr>
              <w:pStyle w:val="null3"/>
            </w:pPr>
            <w:r>
              <w:rPr>
                <w:rFonts w:ascii="仿宋_GB2312" w:hAnsi="仿宋_GB2312" w:cs="仿宋_GB2312" w:eastAsia="仿宋_GB2312"/>
              </w:rPr>
              <w:t>1.陕西省声环境功能区划分“一张图”系统成果1套（含数据库、操作手册）；</w:t>
            </w:r>
          </w:p>
          <w:p>
            <w:pPr>
              <w:pStyle w:val="null3"/>
            </w:pPr>
            <w:r>
              <w:rPr>
                <w:rFonts w:ascii="仿宋_GB2312" w:hAnsi="仿宋_GB2312" w:cs="仿宋_GB2312" w:eastAsia="仿宋_GB2312"/>
              </w:rPr>
              <w:t>2.陕西省声环境功能区划、噪声敏感建筑物集中区域、宁静小区等专题图件各1套；</w:t>
            </w:r>
          </w:p>
          <w:p>
            <w:pPr>
              <w:pStyle w:val="null3"/>
            </w:pPr>
            <w:r>
              <w:rPr>
                <w:rFonts w:ascii="仿宋_GB2312" w:hAnsi="仿宋_GB2312" w:cs="仿宋_GB2312" w:eastAsia="仿宋_GB2312"/>
              </w:rPr>
              <w:t>3.《陕西省噪声敏感建筑物集中区域划定技术指南》（初稿）及编制说明1份；</w:t>
            </w:r>
          </w:p>
          <w:p>
            <w:pPr>
              <w:pStyle w:val="null3"/>
            </w:pPr>
            <w:r>
              <w:rPr>
                <w:rFonts w:ascii="仿宋_GB2312" w:hAnsi="仿宋_GB2312" w:cs="仿宋_GB2312" w:eastAsia="仿宋_GB2312"/>
              </w:rPr>
              <w:t>4.陕西省声环境功能区划分“一张图”工作成果报告1份。</w:t>
            </w:r>
          </w:p>
          <w:p>
            <w:pPr>
              <w:pStyle w:val="null3"/>
            </w:pPr>
            <w:r>
              <w:rPr>
                <w:rFonts w:ascii="仿宋_GB2312" w:hAnsi="仿宋_GB2312" w:cs="仿宋_GB2312" w:eastAsia="仿宋_GB2312"/>
              </w:rPr>
              <w:t>六、验收要求：</w:t>
            </w:r>
          </w:p>
          <w:p>
            <w:pPr>
              <w:pStyle w:val="null3"/>
            </w:pPr>
            <w:r>
              <w:rPr>
                <w:rFonts w:ascii="仿宋_GB2312" w:hAnsi="仿宋_GB2312" w:cs="仿宋_GB2312" w:eastAsia="仿宋_GB2312"/>
              </w:rPr>
              <w:t>验收材料齐全，成果内容符合相关要求，由技术评审专家验收通过。</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5个月内完成“一张图”系统框架设计及数据库建设，明确噪声污染防治管理工作相关信息内容；合同签订后5个月内完成“陕西省噪声敏感建筑物集中区域划定技术指南”初稿；合同签订后本年度内完成项目验收与成果交付。</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陕西省环境调查评估中心指定地点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按照磋商文件、供应商响应文件及合同文本执行。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合同签订生效后，成交供应商向采购人开具相应额度增值税发票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项目验收合格后，成交供应商向采购人开具相应额度增值税发票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双方应按照《中华人民共和国民法典》规定及合同条款约定进行处理。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磋商保证金注意事项：（1）磋商保证金须从供应商户名支付，如从个人户名或非供应商户名支付，将被拒绝，视为自动放弃投标权利（该个人是供应商的情形除外）；以保函形式交纳磋商保证金的，供应商应在响应截止时间前将保函扫描成清晰的PDF文件，发送至邮箱2559647209@qq.com（邮件命名：项目编号），并将保函原件单独递交至代理机构财务；供应商应在磋商文件中附保函复印件。保函必须由具有开具投标保函资格的单位开具；若供应商违约，开具保函单位承担连带责任；（2）磋商保证金的提交金额、时间不满足磋商文件要求的，投标无效；（3）磋商保证金以采购代理机构到账凭证为准，供应商无需更换交纳凭证，由采购代理机构统一提供。（4）未按指定账户提交的，我公司将退回，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5月1日以来至少一个月的纳税证明或完税证明，纳税证明或完税证明上应有代收机构或税务机关的公章或业务专用章；其他组织和自然人提供自2024年5月1日以来至少一个月缴纳税收的凭据；依法免税的或者依法不需缴税的供应商应提供相关文件证明； ③社会保障资金缴纳证明：提供自2024年5月1日以来至少一个月已缴纳的社会保障资金的证明（社会保障资金缴存单据或社保机构开具 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3资格证明文件.docx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2023年度或2024年度审计报告（成立时间至提交响应文件截止时间不足一年的可提供成立后任意时段的资产负债表），或提交自2024年11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响应函 3资格证明文件.docx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法定代表人参加磋商的，须提供法定代表人身份证；法定代表人授权本单位他人参加磋商的，须提供法定代表人授权委托书。</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本项目不接受联合体投标，供应商应提供《非联合体投标声明》。</w:t>
            </w:r>
          </w:p>
        </w:tc>
        <w:tc>
          <w:tcPr>
            <w:tcW w:type="dxa" w:w="1661"/>
          </w:tcPr>
          <w:p>
            <w:pPr>
              <w:pStyle w:val="null3"/>
            </w:pPr>
            <w:r>
              <w:rPr>
                <w:rFonts w:ascii="仿宋_GB2312" w:hAnsi="仿宋_GB2312" w:cs="仿宋_GB2312" w:eastAsia="仿宋_GB2312"/>
              </w:rPr>
              <w:t>3资格证明文件.docx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响应文件按照磋商文件规定要求签署、盖章的</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报价未超过磋商文件中规定的预算金额和最高限价的</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满足本磋商文件中实质性条款（服务期限、服务地点、支付约定）要求的</w:t>
            </w:r>
          </w:p>
        </w:tc>
        <w:tc>
          <w:tcPr>
            <w:tcW w:type="dxa" w:w="1661"/>
          </w:tcPr>
          <w:p>
            <w:pPr>
              <w:pStyle w:val="null3"/>
            </w:pPr>
            <w:r>
              <w:rPr>
                <w:rFonts w:ascii="仿宋_GB2312" w:hAnsi="仿宋_GB2312" w:cs="仿宋_GB2312" w:eastAsia="仿宋_GB2312"/>
              </w:rPr>
              <w:t>2商务部分偏离表.docx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4承诺书.docx 5服务响应偏离表.docx 1分项价格表.docx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供应商提供针对本项目的需求分析，包括但不限于项目背景、任务目标、必要性、已有工作基础、工作依据等方面。 满足项目实施需求，无瑕疵：8分； 内容存在1处瑕疵：7分； 内容存在2处瑕疵：6分； 内容存在3处瑕疵：5分； 内容存在4处瑕疵：4分； 内容存在5处瑕疵：3分； 内容存在6处瑕疵：2分； 内容存在7处瑕疵：1分； 未提供或内容存在8处及以上瑕疵：0分。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中，针对瑕疵的定义同此处。</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6需求分析.docx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供应商针对本项目服务内容制定整体服务方案。包括但不限于技术服务方案、具体工作内容、工作方法。方案应完整，内容须全面，对评审内容中的各项要求描述详细；切合本项目实际情况、内容科学合理。 满足项目实施需求，无瑕疵：15分； 内容存在1处瑕疵：13分； 内容存在2处瑕疵：11分； 内容存在3处瑕疵：9分； 内容存在4处瑕疵：7分； 内容存在5处瑕疵：5分； 内容存在6处瑕疵：3分； 内容存在7处瑕疵：1分； 未提供或内容存在8处及以上瑕疵：0分。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7整体服务方案.docx</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供应商能够按照工作内容，全面梳理项目实施阶段的各工作流程。 满足项目实施需求，无瑕疵：8分；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8工作流程.docx</w:t>
            </w:r>
          </w:p>
        </w:tc>
      </w:tr>
      <w:tr>
        <w:tc>
          <w:tcPr>
            <w:tcW w:type="dxa" w:w="831"/>
            <w:vMerge/>
          </w:tcPr>
          <w:p/>
        </w:tc>
        <w:tc>
          <w:tcPr>
            <w:tcW w:type="dxa" w:w="1661"/>
          </w:tcPr>
          <w:p>
            <w:pPr>
              <w:pStyle w:val="null3"/>
            </w:pPr>
            <w:r>
              <w:rPr>
                <w:rFonts w:ascii="仿宋_GB2312" w:hAnsi="仿宋_GB2312" w:cs="仿宋_GB2312" w:eastAsia="仿宋_GB2312"/>
              </w:rPr>
              <w:t>预期成果</w:t>
            </w:r>
          </w:p>
        </w:tc>
        <w:tc>
          <w:tcPr>
            <w:tcW w:type="dxa" w:w="2492"/>
          </w:tcPr>
          <w:p>
            <w:pPr>
              <w:pStyle w:val="null3"/>
            </w:pPr>
            <w:r>
              <w:rPr>
                <w:rFonts w:ascii="仿宋_GB2312" w:hAnsi="仿宋_GB2312" w:cs="仿宋_GB2312" w:eastAsia="仿宋_GB2312"/>
              </w:rPr>
              <w:t>供应商应提供针对本项目的预期成果的分析及满足的质量标准。 满足项目实施需求，无瑕疵：8分；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9预期成果.docx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供应商针对本项目重难点进行分析，并提出相应解决措施。 满足项目实施需求，无瑕疵：5分；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10重难点分析.docx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供应商针对本项目制定质量保障方案，控制各工作环节质量，确保提交成果质量满足要求，方案内容包括：①质量保障体系建设②风险管控③具体可行的保障措施。 满足项目实施需求，无瑕疵：8分；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11质量保障方案.docx</w:t>
            </w:r>
          </w:p>
        </w:tc>
      </w:tr>
      <w:tr>
        <w:tc>
          <w:tcPr>
            <w:tcW w:type="dxa" w:w="831"/>
            <w:vMerge/>
          </w:tcPr>
          <w:p/>
        </w:tc>
        <w:tc>
          <w:tcPr>
            <w:tcW w:type="dxa" w:w="1661"/>
          </w:tcPr>
          <w:p>
            <w:pPr>
              <w:pStyle w:val="null3"/>
            </w:pPr>
            <w:r>
              <w:rPr>
                <w:rFonts w:ascii="仿宋_GB2312" w:hAnsi="仿宋_GB2312" w:cs="仿宋_GB2312" w:eastAsia="仿宋_GB2312"/>
              </w:rPr>
              <w:t>确保服务期的进度计划</w:t>
            </w:r>
          </w:p>
        </w:tc>
        <w:tc>
          <w:tcPr>
            <w:tcW w:type="dxa" w:w="2492"/>
          </w:tcPr>
          <w:p>
            <w:pPr>
              <w:pStyle w:val="null3"/>
            </w:pPr>
            <w:r>
              <w:rPr>
                <w:rFonts w:ascii="仿宋_GB2312" w:hAnsi="仿宋_GB2312" w:cs="仿宋_GB2312" w:eastAsia="仿宋_GB2312"/>
              </w:rPr>
              <w:t>供应商针对本项目制定进度计划方案。包括①服务进度表或服务时间节点计划②进度保障措施。进度安排应切合本项目需求，保障措施制定应描述详细，确保项目实施进度有切实保障。 满足项目实施需求，无瑕疵：6分；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12确保服务期的进度计划.docx</w:t>
            </w:r>
          </w:p>
        </w:tc>
      </w:tr>
      <w:tr>
        <w:tc>
          <w:tcPr>
            <w:tcW w:type="dxa" w:w="831"/>
            <w:vMerge/>
          </w:tcPr>
          <w:p/>
        </w:tc>
        <w:tc>
          <w:tcPr>
            <w:tcW w:type="dxa" w:w="1661"/>
          </w:tcPr>
          <w:p>
            <w:pPr>
              <w:pStyle w:val="null3"/>
            </w:pPr>
            <w:r>
              <w:rPr>
                <w:rFonts w:ascii="仿宋_GB2312" w:hAnsi="仿宋_GB2312" w:cs="仿宋_GB2312" w:eastAsia="仿宋_GB2312"/>
              </w:rPr>
              <w:t>成果交付方案</w:t>
            </w:r>
          </w:p>
        </w:tc>
        <w:tc>
          <w:tcPr>
            <w:tcW w:type="dxa" w:w="2492"/>
          </w:tcPr>
          <w:p>
            <w:pPr>
              <w:pStyle w:val="null3"/>
            </w:pPr>
            <w:r>
              <w:rPr>
                <w:rFonts w:ascii="仿宋_GB2312" w:hAnsi="仿宋_GB2312" w:cs="仿宋_GB2312" w:eastAsia="仿宋_GB2312"/>
              </w:rPr>
              <w:t>供应商提供针对本项目的成果交付方案，提供针对本项目的成果交付资料应全面、真实、有效，符合采购人要求。若未达到采购人标准，及时在采购人规定时间内重新提交相关交付资料。 满足项目实施需求，无瑕疵：6分；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13成果交付方案.docx</w:t>
            </w:r>
          </w:p>
        </w:tc>
      </w:tr>
      <w:tr>
        <w:tc>
          <w:tcPr>
            <w:tcW w:type="dxa" w:w="831"/>
            <w:vMerge/>
          </w:tcPr>
          <w:p/>
        </w:tc>
        <w:tc>
          <w:tcPr>
            <w:tcW w:type="dxa" w:w="1661"/>
          </w:tcPr>
          <w:p>
            <w:pPr>
              <w:pStyle w:val="null3"/>
            </w:pPr>
            <w:r>
              <w:rPr>
                <w:rFonts w:ascii="仿宋_GB2312" w:hAnsi="仿宋_GB2312" w:cs="仿宋_GB2312" w:eastAsia="仿宋_GB2312"/>
              </w:rPr>
              <w:t>服务沟通方案</w:t>
            </w:r>
          </w:p>
        </w:tc>
        <w:tc>
          <w:tcPr>
            <w:tcW w:type="dxa" w:w="2492"/>
          </w:tcPr>
          <w:p>
            <w:pPr>
              <w:pStyle w:val="null3"/>
            </w:pPr>
            <w:r>
              <w:rPr>
                <w:rFonts w:ascii="仿宋_GB2312" w:hAnsi="仿宋_GB2312" w:cs="仿宋_GB2312" w:eastAsia="仿宋_GB2312"/>
              </w:rPr>
              <w:t>供应商提供针对本项目的服务沟通方案，包括及时响应、采购人反应问题登记台账与及时反馈解决等。 满足项目实施需求，无瑕疵：5分；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14服务沟通方案.docx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供应商针对本项目有具体可行的验收方法，能提供验收保障措施等。 满足项目实施需求，无瑕疵：3分；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15验收方案.docx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供应商根据本项目的服务内容，做出切实可行的服务承诺，确保项目能按时按质完成，达到服务要求且能保证项目质量。 满足项目实施需求，无瑕疵：3分；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16服务承诺.docx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项目负责人具有相关专业高级职称并且具有注册测绘师资格证书，满足此要求计2分。 注：须提供拟派项目负责人身份证及职称证书和注册测绘师资格证书作为证明材料，否则不得分。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17项目负责人.docx</w:t>
            </w:r>
          </w:p>
        </w:tc>
      </w:tr>
      <w:tr>
        <w:tc>
          <w:tcPr>
            <w:tcW w:type="dxa" w:w="831"/>
            <w:vMerge/>
          </w:tcPr>
          <w:p/>
        </w:tc>
        <w:tc>
          <w:tcPr>
            <w:tcW w:type="dxa" w:w="1661"/>
          </w:tcPr>
          <w:p>
            <w:pPr>
              <w:pStyle w:val="null3"/>
            </w:pPr>
            <w:r>
              <w:rPr>
                <w:rFonts w:ascii="仿宋_GB2312" w:hAnsi="仿宋_GB2312" w:cs="仿宋_GB2312" w:eastAsia="仿宋_GB2312"/>
              </w:rPr>
              <w:t>人员组织安排</w:t>
            </w:r>
          </w:p>
        </w:tc>
        <w:tc>
          <w:tcPr>
            <w:tcW w:type="dxa" w:w="2492"/>
          </w:tcPr>
          <w:p>
            <w:pPr>
              <w:pStyle w:val="null3"/>
            </w:pPr>
            <w:r>
              <w:rPr>
                <w:rFonts w:ascii="仿宋_GB2312" w:hAnsi="仿宋_GB2312" w:cs="仿宋_GB2312" w:eastAsia="仿宋_GB2312"/>
              </w:rPr>
              <w:t>供应商针对本项目提供人员组织安排计划，包含组织架构、工作划分、人员配置（须提供除项目负责人外，其余人员身份证、相关行业证书）等方面。 满足项目实施需求，无瑕疵：8分；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18人员组织安排.docx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供应商具有2021年1月1日以来同类项目业绩，每提供一个合同得1分，满分5分。 注：响应文件需要同时提供合同首页、服务内容页、盖章页复印件，时间以合同签订时间为准，否则不得分。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19业绩.docx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即满足磋商文件要求且价格最低的报价为磋商基准价，其价格分为满分。其他响应单位的价格分统一按照下列公式计算： 磋商报价得分=（评标基准价/磋商报价）×价格权值×100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详见附件：5服务响应偏离表.docx</w:t>
      </w:r>
    </w:p>
    <w:p>
      <w:pPr>
        <w:pStyle w:val="null3"/>
        <w:ind w:firstLine="960"/>
      </w:pPr>
      <w:r>
        <w:rPr>
          <w:rFonts w:ascii="仿宋_GB2312" w:hAnsi="仿宋_GB2312" w:cs="仿宋_GB2312" w:eastAsia="仿宋_GB2312"/>
        </w:rPr>
        <w:t>详见附件：6需求分析.docx</w:t>
      </w:r>
    </w:p>
    <w:p>
      <w:pPr>
        <w:pStyle w:val="null3"/>
        <w:ind w:firstLine="960"/>
      </w:pPr>
      <w:r>
        <w:rPr>
          <w:rFonts w:ascii="仿宋_GB2312" w:hAnsi="仿宋_GB2312" w:cs="仿宋_GB2312" w:eastAsia="仿宋_GB2312"/>
        </w:rPr>
        <w:t>详见附件：7整体服务方案.docx</w:t>
      </w:r>
    </w:p>
    <w:p>
      <w:pPr>
        <w:pStyle w:val="null3"/>
        <w:ind w:firstLine="960"/>
      </w:pPr>
      <w:r>
        <w:rPr>
          <w:rFonts w:ascii="仿宋_GB2312" w:hAnsi="仿宋_GB2312" w:cs="仿宋_GB2312" w:eastAsia="仿宋_GB2312"/>
        </w:rPr>
        <w:t>详见附件：8工作流程.docx</w:t>
      </w:r>
    </w:p>
    <w:p>
      <w:pPr>
        <w:pStyle w:val="null3"/>
        <w:ind w:firstLine="960"/>
      </w:pPr>
      <w:r>
        <w:rPr>
          <w:rFonts w:ascii="仿宋_GB2312" w:hAnsi="仿宋_GB2312" w:cs="仿宋_GB2312" w:eastAsia="仿宋_GB2312"/>
        </w:rPr>
        <w:t>详见附件：9预期成果.docx</w:t>
      </w:r>
    </w:p>
    <w:p>
      <w:pPr>
        <w:pStyle w:val="null3"/>
        <w:ind w:firstLine="960"/>
      </w:pPr>
      <w:r>
        <w:rPr>
          <w:rFonts w:ascii="仿宋_GB2312" w:hAnsi="仿宋_GB2312" w:cs="仿宋_GB2312" w:eastAsia="仿宋_GB2312"/>
        </w:rPr>
        <w:t>详见附件：10重难点分析.docx</w:t>
      </w:r>
    </w:p>
    <w:p>
      <w:pPr>
        <w:pStyle w:val="null3"/>
        <w:ind w:firstLine="960"/>
      </w:pPr>
      <w:r>
        <w:rPr>
          <w:rFonts w:ascii="仿宋_GB2312" w:hAnsi="仿宋_GB2312" w:cs="仿宋_GB2312" w:eastAsia="仿宋_GB2312"/>
        </w:rPr>
        <w:t>详见附件：11质量保障方案.docx</w:t>
      </w:r>
    </w:p>
    <w:p>
      <w:pPr>
        <w:pStyle w:val="null3"/>
        <w:ind w:firstLine="960"/>
      </w:pPr>
      <w:r>
        <w:rPr>
          <w:rFonts w:ascii="仿宋_GB2312" w:hAnsi="仿宋_GB2312" w:cs="仿宋_GB2312" w:eastAsia="仿宋_GB2312"/>
        </w:rPr>
        <w:t>详见附件：12确保服务期的进度计划.docx</w:t>
      </w:r>
    </w:p>
    <w:p>
      <w:pPr>
        <w:pStyle w:val="null3"/>
        <w:ind w:firstLine="960"/>
      </w:pPr>
      <w:r>
        <w:rPr>
          <w:rFonts w:ascii="仿宋_GB2312" w:hAnsi="仿宋_GB2312" w:cs="仿宋_GB2312" w:eastAsia="仿宋_GB2312"/>
        </w:rPr>
        <w:t>详见附件：13成果交付方案.docx</w:t>
      </w:r>
    </w:p>
    <w:p>
      <w:pPr>
        <w:pStyle w:val="null3"/>
        <w:ind w:firstLine="960"/>
      </w:pPr>
      <w:r>
        <w:rPr>
          <w:rFonts w:ascii="仿宋_GB2312" w:hAnsi="仿宋_GB2312" w:cs="仿宋_GB2312" w:eastAsia="仿宋_GB2312"/>
        </w:rPr>
        <w:t>详见附件：14服务沟通方案.docx</w:t>
      </w:r>
    </w:p>
    <w:p>
      <w:pPr>
        <w:pStyle w:val="null3"/>
        <w:ind w:firstLine="960"/>
      </w:pPr>
      <w:r>
        <w:rPr>
          <w:rFonts w:ascii="仿宋_GB2312" w:hAnsi="仿宋_GB2312" w:cs="仿宋_GB2312" w:eastAsia="仿宋_GB2312"/>
        </w:rPr>
        <w:t>详见附件：15验收方案.docx</w:t>
      </w:r>
    </w:p>
    <w:p>
      <w:pPr>
        <w:pStyle w:val="null3"/>
        <w:ind w:firstLine="960"/>
      </w:pPr>
      <w:r>
        <w:rPr>
          <w:rFonts w:ascii="仿宋_GB2312" w:hAnsi="仿宋_GB2312" w:cs="仿宋_GB2312" w:eastAsia="仿宋_GB2312"/>
        </w:rPr>
        <w:t>详见附件：16服务承诺.docx</w:t>
      </w:r>
    </w:p>
    <w:p>
      <w:pPr>
        <w:pStyle w:val="null3"/>
        <w:ind w:firstLine="960"/>
      </w:pPr>
      <w:r>
        <w:rPr>
          <w:rFonts w:ascii="仿宋_GB2312" w:hAnsi="仿宋_GB2312" w:cs="仿宋_GB2312" w:eastAsia="仿宋_GB2312"/>
        </w:rPr>
        <w:t>详见附件：17项目负责人.docx</w:t>
      </w:r>
    </w:p>
    <w:p>
      <w:pPr>
        <w:pStyle w:val="null3"/>
        <w:ind w:firstLine="960"/>
      </w:pPr>
      <w:r>
        <w:rPr>
          <w:rFonts w:ascii="仿宋_GB2312" w:hAnsi="仿宋_GB2312" w:cs="仿宋_GB2312" w:eastAsia="仿宋_GB2312"/>
        </w:rPr>
        <w:t>详见附件：18人员组织安排.docx</w:t>
      </w:r>
    </w:p>
    <w:p>
      <w:pPr>
        <w:pStyle w:val="null3"/>
        <w:ind w:firstLine="960"/>
      </w:pPr>
      <w:r>
        <w:rPr>
          <w:rFonts w:ascii="仿宋_GB2312" w:hAnsi="仿宋_GB2312" w:cs="仿宋_GB2312" w:eastAsia="仿宋_GB2312"/>
        </w:rPr>
        <w:t>详见附件：19业绩.docx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