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版本号：SZB-2025-002-1020250527001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专利转化专项计划资金绩效考评项目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SZB-2025-002-10</w:t>
      </w:r>
      <w:r>
        <w:br/>
      </w:r>
      <w:r>
        <w:br/>
      </w:r>
      <w:r>
        <w:br/>
      </w:r>
    </w:p>
    <w:p>
      <w:pPr>
        <w:pStyle w:val="null3"/>
        <w:jc w:val="center"/>
        <w:outlineLvl w:val="2"/>
      </w:pPr>
      <w:r>
        <w:rPr>
          <w:rFonts w:ascii="仿宋_GB2312" w:hAnsi="仿宋_GB2312" w:cs="仿宋_GB2312" w:eastAsia="仿宋_GB2312"/>
          <w:sz w:val="28"/>
          <w:b/>
        </w:rPr>
        <w:t>陕西省知识产权局机关</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陕西省知识产权局机关</w:t>
      </w:r>
      <w:r>
        <w:rPr>
          <w:rFonts w:ascii="仿宋_GB2312" w:hAnsi="仿宋_GB2312" w:cs="仿宋_GB2312" w:eastAsia="仿宋_GB2312"/>
        </w:rPr>
        <w:t>委托，拟对</w:t>
      </w:r>
      <w:r>
        <w:rPr>
          <w:rFonts w:ascii="仿宋_GB2312" w:hAnsi="仿宋_GB2312" w:cs="仿宋_GB2312" w:eastAsia="仿宋_GB2312"/>
        </w:rPr>
        <w:t>专利转化专项计划资金绩效考评项目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SZB-2025-002-10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专利转化专项计划资金绩效考评项目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2022年专利转化专项计划实施期已满，资金使用额度共5000万元，资金来源中央专项，其中通过因素法下达各市区2490万元，通过项目法下达2510万元，实施51个重点项目。2023年组织实施62个专利转化项目，资金使用额度1780万元，资金来源省专项。以上资金和项目均已具备绩效考评和验收条件。 为加强专项资金管理，确保专项计划绩效目标，做好国家绩效考评准备，经与省财政厅经建处业务负责人沟通，建议通过政府采购形式邀请具有绩效考评经验，且对知识产权工作有一定认知的第三方机构对以上资金和项目进行绩效考评验收；根据省知识产权局需求，完成对2022年专利转化专项计划第二批专项计划项目实施绩效考评验收工作，2023年专项计划项目实施验收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1、营业执照：具有独立承担民事责任能力的法人、其他组织或自然人，提供合法有效的统一社会信用代码营业执照（其他组织提供相关证明资料，自然人应提供身份证）</w:t>
      </w:r>
    </w:p>
    <w:p>
      <w:pPr>
        <w:pStyle w:val="null3"/>
      </w:pPr>
      <w:r>
        <w:rPr>
          <w:rFonts w:ascii="仿宋_GB2312" w:hAnsi="仿宋_GB2312" w:cs="仿宋_GB2312" w:eastAsia="仿宋_GB2312"/>
        </w:rPr>
        <w:t>2、法定代表人授权书：提供法定代表人授权委托书原件（附法定代表人身份证复印件）及被授权委托人身份证（法定代表人参加投标时只须提供法定代表人身份证）</w:t>
      </w:r>
    </w:p>
    <w:p>
      <w:pPr>
        <w:pStyle w:val="null3"/>
      </w:pPr>
      <w:r>
        <w:rPr>
          <w:rFonts w:ascii="仿宋_GB2312" w:hAnsi="仿宋_GB2312" w:cs="仿宋_GB2312" w:eastAsia="仿宋_GB2312"/>
        </w:rPr>
        <w:t>3、财务状况报告：提供经审计的2023年度或2024年度的财务报告或提供开标日期前六个月内其基本账户开户银行出具的资信证明；其他组织和自然人提供银行出具的资信证明或财务报表</w:t>
      </w:r>
    </w:p>
    <w:p>
      <w:pPr>
        <w:pStyle w:val="null3"/>
      </w:pPr>
      <w:r>
        <w:rPr>
          <w:rFonts w:ascii="仿宋_GB2312" w:hAnsi="仿宋_GB2312" w:cs="仿宋_GB2312" w:eastAsia="仿宋_GB2312"/>
        </w:rPr>
        <w:t>4、税收缴纳证明：提供已缴纳的本年度或上年度任一月份的缴税凭证。依法免税的供应商应提供相关文件证明</w:t>
      </w:r>
    </w:p>
    <w:p>
      <w:pPr>
        <w:pStyle w:val="null3"/>
      </w:pPr>
      <w:r>
        <w:rPr>
          <w:rFonts w:ascii="仿宋_GB2312" w:hAnsi="仿宋_GB2312" w:cs="仿宋_GB2312" w:eastAsia="仿宋_GB2312"/>
        </w:rPr>
        <w:t>5、社会保障资金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p>
      <w:pPr>
        <w:pStyle w:val="null3"/>
      </w:pPr>
      <w:r>
        <w:rPr>
          <w:rFonts w:ascii="仿宋_GB2312" w:hAnsi="仿宋_GB2312" w:cs="仿宋_GB2312" w:eastAsia="仿宋_GB2312"/>
        </w:rPr>
        <w:t>6、信用记录：参加本次政府采购活动前3年内在经营活动中没有重大违纪，以及未被列入失信被执行人、重大税收违法案件当事人名单、政府采购严重违法失信行为记录名单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7、信用主体查询：供应商通过“信用中国”网站(www.creditchina.gov.cn)查询相关主体信用记录，查询时间须在采购文件发售期至开标截止时间之间，并将网页截图附在响应文件中</w:t>
      </w:r>
    </w:p>
    <w:p>
      <w:pPr>
        <w:pStyle w:val="null3"/>
      </w:pPr>
      <w:r>
        <w:rPr>
          <w:rFonts w:ascii="仿宋_GB2312" w:hAnsi="仿宋_GB2312" w:cs="仿宋_GB2312" w:eastAsia="仿宋_GB2312"/>
        </w:rPr>
        <w:t>8、书面声明：具有履行合同所必需的专业技术和行业组织协调能力的承诺函</w:t>
      </w:r>
    </w:p>
    <w:p>
      <w:pPr>
        <w:pStyle w:val="null3"/>
      </w:pPr>
      <w:r>
        <w:rPr>
          <w:rFonts w:ascii="仿宋_GB2312" w:hAnsi="仿宋_GB2312" w:cs="仿宋_GB2312" w:eastAsia="仿宋_GB2312"/>
        </w:rPr>
        <w:t>9、《非联合体不分包投标声明》：本项目不接受联合体投标，不允许分包：供应商提供《非联合体不分包投标声明》，视为独立响应，不分包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西安市雁翔路99号交大博源科技广场C座12层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18821775788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代理服务费收费标准：招标代理服务费由中标人在领取中标通知书前向招标代理机构支付 ，参照国家计委计价格【2002】 1980号文，一次性收取。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陕西省知识产权局机关</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联系人：李楠</w:t>
      </w:r>
    </w:p>
    <w:p>
      <w:pPr>
        <w:pStyle w:val="null3"/>
      </w:pPr>
      <w:r>
        <w:rPr>
          <w:rFonts w:ascii="仿宋_GB2312" w:hAnsi="仿宋_GB2312" w:cs="仿宋_GB2312" w:eastAsia="仿宋_GB2312"/>
        </w:rPr>
        <w:t>联系电话：18821775788</w:t>
      </w:r>
    </w:p>
    <w:p>
      <w:pPr>
        <w:pStyle w:val="null3"/>
      </w:pPr>
      <w:r>
        <w:rPr>
          <w:rFonts w:ascii="仿宋_GB2312" w:hAnsi="仿宋_GB2312" w:cs="仿宋_GB2312" w:eastAsia="仿宋_GB2312"/>
        </w:rPr>
        <w:t>地址：西安市雁翔路99号交大博源科技广场C座12层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2022年专利转化专项计划实施期已满，资金使用额度共5000万元，资金来源中央专项，其中通过因素法下达各市区2490万元，通过项目法下达2510万元，实施51个重点项目。2023年组织实施62个专利转化项目，资金使用额度1780万元，资金来源省专项。以上资金和项目均已具备绩效考评和验收条件。 为加强专项资金管理，确保专项计划绩效目标，做好国家绩效考评准备，经与省财政厅经建处业务负责人沟通，建议通过政府采购形式邀请具有绩效考评经验，且对知识产权工作有一定认知的第三方机构对以上资金和项目进行绩效考评验收；根据省知识产权局需求，完成对2022年专利转化专项计划第二批专项计划项目实施绩效考评验收工作，2023年专项计划项目实施验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专利转化专项计划资金绩效考评项目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标的名称：专利转化专项计划资金绩效考评项目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2022年专利转化专项计划第二批专项计划项目实施绩效考评验收工作，2023年专项计划项目实施验收工作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加强专项资金管理，确保专项计划绩效目标，做好中、省绩效考评准备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2022年专利转化专项计划暨第二批专项计划项目实施绩效考评验收工作，2023年专项计划项目完成验收，能够满足迎接中、省绩效考评的前期要求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2025年7月至9月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具有独立承担民事责任能力的法人、其他组织或自然人，提供合法有效的统一社会信用代码营业执照（其他组织提供相关证明资料，自然人应提供身份证）</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提供法定代表人授权委托书原件（附法定代表人身份证复印件）及被授权委托人身份证（法定代表人参加投标时只须提供法定代表人身份证）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提供经审计的2023年度或2024年度的财务报告或提供开标日期前六个月内其基本账户开户银行出具的资信证明；其他组织和自然人提供银行出具的资信证明或财务报表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具有履行合同所必需的专业技术和行业组织协调能力的承诺函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对本项目的解读与组织安排情况</w:t>
            </w:r>
          </w:p>
        </w:tc>
        <w:tc>
          <w:tcPr>
            <w:tcW w:type="dxa" w:w="2492"/>
          </w:tcPr>
          <w:p>
            <w:pPr>
              <w:pStyle w:val="null3"/>
            </w:pPr>
            <w:r>
              <w:rPr>
                <w:rFonts w:ascii="仿宋_GB2312" w:hAnsi="仿宋_GB2312" w:cs="仿宋_GB2312" w:eastAsia="仿宋_GB2312"/>
              </w:rPr>
              <w:t>根据供应商对本项目技术需求的理解及需求分析思路是否清晰、内容是否全面、各方面安排是否科学合理： 1、供应商所提供的服务内容完整科学，符合项目实际及需求，可操作性强，完全满足或优于磋商文件相关标准，满足采购人实际需求，根据响应情况得10-15分； 2、供应商所提供的服务内容完整，基本符合项目实际需求，可操作根据响应情况得5-10分； 3、供应商所提供服务内容存在缺漏项，在项目实施过程中可能存在工作不到位的情况，根据响应情况得0-5分。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的服务工作方案，对本项目的重点把握突出、难点分析到位（人员配置、时间安排、评价目的、评价内容、评价依据、评价方法、指标体系、评价标准、样本确定、调查问卷、资料清单以及工作纪律）提出针对性解决方案，实施方案中项目梳理清晰规范，保障项目切实到位，工作底稿设计清晰合理： 1、供应商针对磋商文件技术要求提供针对性强且完善的项目实施方案，服务计划书详细、合理、全面，服务方案达到或优于磋商文件标准。根据响应情况得20-30分； 2、供应商针对磋商文件技术要求提供项目实施方案，方案基本合理，服务方案符合采购人基本要求。根据响应情况得10-20分； 3、供应商所提供的项目实施方案有缺陷或不尽合理，服务质量未能达到采购人实际需求，根据响应情况得0-10分。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配备合理、充足，有相关经验的专项小组以及专门负责此项目的负责人。人员分工搭配合理，各岗位职责明确，满足调整需求，拟派专人负责与采购人协调沟通；团队人员职责分工明确，专业配置合理，确保本项目顺利实施。根据响应程度计10-15分；有人员安排，能保证项目顺利实施的得5-10分；人员安排简单，不能满足磋商文件的要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结合本项目实际情况制定合理、可行、完整的总体进度计划及保障措施。进度计划及保障措施内容完整且时效性强，能够切合本项目实际情况对进度关键节点的控制和保障措施详细描述，完全满足采购要求，赋10-15分； 进度计划及保障措施内容单一，基本可行，赋5-10分； 进度计划及保障措施有偏差，没有针对性，赋0-5分。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2022年专利转化专项计划第二批专项计划项目实施绩效考评验收工作，2023年专项计划项目实施验收工作中能提出建设性建议。方向明确、清晰，建议合理、全面，可行度高得4-5分；方向较明确、清晰，建议合理化较弱、可行度一般，得2-4分；发展方向和建议考虑欠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供应商结合本项目实际情况提供全面、合理、可行性强的服务承诺。服务承诺内容完整且全面，可操作性强，计3-4分；服务承诺内容单一，基本可行 ，计2-3分；服务承诺没有针对性，不够详细，计1-2分；未提供不计分。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提供供应商2020年1月1日起至今承揽过类似业务的业绩，每提供1个得3分；本项目最高得6分。 （业绩证明包括：合同，以合同签订时间为准，须附合同的扫描件加盖公章）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评标基准价：通过资格性审查和符合性审查且报价最低的投标报价为评标基准价。 投标报价得分：投标报价得分统一按照下列公式计算： 价格分=(评标基准价／投标报价)×价格权值×100 （注：如评标委员会一致认为最低报价或某些分项报价明显不合理，有降低质量、不能诚信履约的可能时，评标委员会有权通知投标人进行解释。如投标人未能在规定期限内作出解释，或所作解释不合理，经评标委员会取得一致意见后，对该投标人将不予推荐。）</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