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版本号：SNJZ-2025-11720250529001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2025年陕西省能源计量审查工作项目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SNJZ-2025-117</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2025年陕西省能源计量审查工作项目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SNJZ-2025-117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2025年陕西省能源计量审查工作项目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陕西省市场监督管理局2025年陕西省能源计量审查工作项目，1项，具体内容详见第三章。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采购包1（2025年陕西省能源计量审查工作）：属于专门面向中小企业采购。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2、授权书：法定代表人参加磋商时，提供法定代表人证明书；授权代表参加磋商时，提供法定代表人授权书；非法人单位参照执行。</w:t>
      </w:r>
    </w:p>
    <w:p>
      <w:pPr>
        <w:pStyle w:val="null3"/>
      </w:pPr>
      <w:r>
        <w:rPr>
          <w:rFonts w:ascii="仿宋_GB2312" w:hAnsi="仿宋_GB2312" w:cs="仿宋_GB2312" w:eastAsia="仿宋_GB2312"/>
        </w:rPr>
        <w:t>3、财务状况报告：法人提供经审计的2023年度或2024年度的财务报告或提交磋商响应文件截止时间前一年内银行资信证明；或政府采购信用担保机构出具的投标担保函。</w:t>
      </w:r>
    </w:p>
    <w:p>
      <w:pPr>
        <w:pStyle w:val="null3"/>
      </w:pPr>
      <w:r>
        <w:rPr>
          <w:rFonts w:ascii="仿宋_GB2312" w:hAnsi="仿宋_GB2312" w:cs="仿宋_GB2312" w:eastAsia="仿宋_GB2312"/>
        </w:rPr>
        <w:t>4、税收缴纳证明：提供响应文件递交截止时间前近一年内至少一个月已缴纳的纳税凭据或完税证明；依法免税的供应商应提供相关文件证明。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响应文件截止时间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6、提供具有履行本合同所必需的设备和专业技术能力的承诺：提供具有履行本合同所必需的设备和专业技术能力的承诺</w:t>
      </w:r>
    </w:p>
    <w:p>
      <w:pPr>
        <w:pStyle w:val="null3"/>
      </w:pPr>
      <w:r>
        <w:rPr>
          <w:rFonts w:ascii="仿宋_GB2312" w:hAnsi="仿宋_GB2312" w:cs="仿宋_GB2312" w:eastAsia="仿宋_GB2312"/>
        </w:rPr>
        <w:t>7、无重大违法记录的书面声明：提供参加政府采购活动前三年内在经营活动中没有重大违法记录的书面声明。</w:t>
      </w:r>
    </w:p>
    <w:p>
      <w:pPr>
        <w:pStyle w:val="null3"/>
      </w:pPr>
      <w:r>
        <w:rPr>
          <w:rFonts w:ascii="仿宋_GB2312" w:hAnsi="仿宋_GB2312" w:cs="仿宋_GB2312" w:eastAsia="仿宋_GB2312"/>
        </w:rPr>
        <w:t>8、国家法定计量检定机构计量授权证书：供应商提供国家法定计量检定机构计量授权证书。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陕西省市场监督管理局经办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029-86138659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崔斌、程钰、王力、鲁方方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开户名称：陕西教育招标有限责任公司</w:t>
            </w:r>
          </w:p>
          <w:p>
            <w:pPr>
              <w:pStyle w:val="null3"/>
            </w:pPr>
            <w:r>
              <w:rPr>
                <w:rFonts w:ascii="仿宋_GB2312" w:hAnsi="仿宋_GB2312" w:cs="仿宋_GB2312" w:eastAsia="仿宋_GB2312"/>
              </w:rPr>
              <w:t>开户银行：浙商银行西安长安路支行</w:t>
            </w:r>
          </w:p>
          <w:p>
            <w:pPr>
              <w:pStyle w:val="null3"/>
            </w:pPr>
            <w:r>
              <w:rPr>
                <w:rFonts w:ascii="仿宋_GB2312" w:hAnsi="仿宋_GB2312" w:cs="仿宋_GB2312" w:eastAsia="仿宋_GB2312"/>
              </w:rPr>
              <w:t>银行账号：7910000410120100071552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收到成交通知书后十(10)个日历日内，按照原国家计委《招标代理服务收费管理暂行办法》(计价格[2002]1980号)及发改办价格[2003]857号文件规定的收费标准，向陕西教育招标有限责任公司交纳招标代理服务费，招标代理服务费采用现金、电汇或银行转账方式交纳。 服务费交纳账户： 开户行：中国光大银行陕西自贸试验区西安唐延路支行； 开户名称：陕西教育招标有限责任公司； 银行行号：303791000136 开户账号：78580188000058925 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项目完成，供应商按约定完成所有服务，且服务质量无争议，视为验收合格。验收依据：合同文本，磋商文件，磋商响应文件，国内相应标准、规范。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联系人：崔斌</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地址：西安市太白南路181号西部电子社区A座B区401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陕西省市场监督管理局2025年陕西省能源计量审查工作。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2,010,000.00</w:t>
      </w:r>
    </w:p>
    <w:p>
      <w:pPr>
        <w:pStyle w:val="null3"/>
      </w:pPr>
      <w:r>
        <w:rPr>
          <w:rFonts w:ascii="仿宋_GB2312" w:hAnsi="仿宋_GB2312" w:cs="仿宋_GB2312" w:eastAsia="仿宋_GB2312"/>
        </w:rPr>
        <w:t>采购包最高限价（元）: 2,010,000.00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2025年陕西省能源计量审查工作经费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标的名称：2025年陕西省能源计量审查工作经费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一、项目概况</w:t>
            </w:r>
          </w:p>
          <w:p>
            <w:pPr>
              <w:pStyle w:val="null3"/>
            </w:pPr>
            <w:r>
              <w:rPr>
                <w:rFonts w:ascii="仿宋_GB2312" w:hAnsi="仿宋_GB2312" w:cs="仿宋_GB2312" w:eastAsia="仿宋_GB2312"/>
                <w:sz w:val="21"/>
              </w:rPr>
              <w:t>本项目主要围绕省委省政府就支撑碳达峰碳中和战略部署，落实国家总局和省局加强能源计量审查工作的重要通知要求，将年综合能源消费总量5千吨标准煤以上的重点用能单位作为能源计量审查重点对象。根据省发展改革委发布的年度陕西省重点用能单位名单（2023年版、2024版、2025版）动态安排，陕西省年综合能耗5千吨标准煤以上的重点用能单位2025版共622家，对照2023年和2024年已审查的企业名单，最终确定2025年能源审查企业245家。2025年需完成第三批245家重点用能单位能源计量审查工作，重点对用能单位的能源计量器具配备、使用和管理，能源计量数据采集、分析和利用，能源计量人员配备和培训，能源计量管理制度建设和实施等方面进行能源计量审查。</w:t>
            </w:r>
          </w:p>
          <w:p>
            <w:pPr>
              <w:pStyle w:val="null3"/>
            </w:pPr>
            <w:r>
              <w:rPr>
                <w:rFonts w:ascii="仿宋_GB2312" w:hAnsi="仿宋_GB2312" w:cs="仿宋_GB2312" w:eastAsia="仿宋_GB2312"/>
                <w:sz w:val="21"/>
              </w:rPr>
              <w:t>二、服务内容</w:t>
            </w:r>
          </w:p>
          <w:p>
            <w:pPr>
              <w:pStyle w:val="null3"/>
            </w:pPr>
            <w:r>
              <w:rPr>
                <w:rFonts w:ascii="仿宋_GB2312" w:hAnsi="仿宋_GB2312" w:cs="仿宋_GB2312" w:eastAsia="仿宋_GB2312"/>
                <w:sz w:val="21"/>
              </w:rPr>
              <w:t>1.收集汇总2024年能源计量审查工作中重点用能单位的《能源计量审查整改报告》，并组织专家进行审核，根据省局要求组织专家对2024年已经审查过的重点用能单位进行“回头看”，汇总验收整改情况和效果；</w:t>
            </w:r>
          </w:p>
          <w:p>
            <w:pPr>
              <w:pStyle w:val="null3"/>
            </w:pPr>
            <w:r>
              <w:rPr>
                <w:rFonts w:ascii="仿宋_GB2312" w:hAnsi="仿宋_GB2312" w:cs="仿宋_GB2312" w:eastAsia="仿宋_GB2312"/>
                <w:sz w:val="21"/>
              </w:rPr>
              <w:t>2.组织专家完成第三批245家重点用能单位能源计量审查工作，保障现场审查专家用车和食宿，并支付专家费，定期向省局汇报审查情况，对被审查过存在问题的重点用能单位发放责令整改通知书，配合省局适时召集问题较大的重点用能单位进行督导提醒谈话，并形成提醒谈话记录；</w:t>
            </w:r>
          </w:p>
          <w:p>
            <w:pPr>
              <w:pStyle w:val="null3"/>
            </w:pPr>
            <w:r>
              <w:rPr>
                <w:rFonts w:ascii="仿宋_GB2312" w:hAnsi="仿宋_GB2312" w:cs="仿宋_GB2312" w:eastAsia="仿宋_GB2312"/>
                <w:sz w:val="21"/>
              </w:rPr>
              <w:t>3.对用能单位进行《节约能源法》《计量法》等法律法规和碳计量技术规范的宣贯培训；</w:t>
            </w:r>
          </w:p>
          <w:p>
            <w:pPr>
              <w:pStyle w:val="null3"/>
            </w:pPr>
            <w:r>
              <w:rPr>
                <w:rFonts w:ascii="仿宋_GB2312" w:hAnsi="仿宋_GB2312" w:cs="仿宋_GB2312" w:eastAsia="仿宋_GB2312"/>
                <w:sz w:val="21"/>
              </w:rPr>
              <w:t>4.帮扶用能单位加强能源计量器具配备、使用和管理，建立量值溯源体系；</w:t>
            </w:r>
          </w:p>
          <w:p>
            <w:pPr>
              <w:pStyle w:val="null3"/>
            </w:pPr>
            <w:r>
              <w:rPr>
                <w:rFonts w:ascii="仿宋_GB2312" w:hAnsi="仿宋_GB2312" w:cs="仿宋_GB2312" w:eastAsia="仿宋_GB2312"/>
                <w:sz w:val="21"/>
              </w:rPr>
              <w:t>5.组织专家对能源计量数据采集、分析和应用监测；</w:t>
            </w:r>
          </w:p>
          <w:p>
            <w:pPr>
              <w:pStyle w:val="null3"/>
            </w:pPr>
            <w:r>
              <w:rPr>
                <w:rFonts w:ascii="仿宋_GB2312" w:hAnsi="仿宋_GB2312" w:cs="仿宋_GB2312" w:eastAsia="仿宋_GB2312"/>
                <w:sz w:val="21"/>
              </w:rPr>
              <w:t>6.指导用能单位加强能源计量技术人员队伍建设、业务能力培训，建立能源计量管理制度并规范运行；</w:t>
            </w:r>
          </w:p>
          <w:p>
            <w:pPr>
              <w:pStyle w:val="null3"/>
            </w:pPr>
            <w:r>
              <w:rPr>
                <w:rFonts w:ascii="仿宋_GB2312" w:hAnsi="仿宋_GB2312" w:cs="仿宋_GB2312" w:eastAsia="仿宋_GB2312"/>
                <w:sz w:val="21"/>
              </w:rPr>
              <w:t>7.帮扶用能单位建立完善碳排放、碳交易计量技术支撑体系；</w:t>
            </w:r>
          </w:p>
          <w:p>
            <w:pPr>
              <w:pStyle w:val="null3"/>
            </w:pPr>
            <w:r>
              <w:rPr>
                <w:rFonts w:ascii="仿宋_GB2312" w:hAnsi="仿宋_GB2312" w:cs="仿宋_GB2312" w:eastAsia="仿宋_GB2312"/>
                <w:sz w:val="21"/>
              </w:rPr>
              <w:t>8.对重点用能单位能源计量审查结果进行编制、汇总、分析，形成“重点用能单位能源计量审查报告”、“能源计量审查工作总结”、“能源计量审查工作情况通报文”和“能源计量审查经验材料”；</w:t>
            </w:r>
          </w:p>
          <w:p>
            <w:pPr>
              <w:pStyle w:val="null3"/>
            </w:pPr>
            <w:r>
              <w:rPr>
                <w:rFonts w:ascii="仿宋_GB2312" w:hAnsi="仿宋_GB2312" w:cs="仿宋_GB2312" w:eastAsia="仿宋_GB2312"/>
                <w:sz w:val="21"/>
              </w:rPr>
              <w:t>9.组织召开重点用能单位能源计量审查年度工作总结会，全面总结经验做法，深入分析问题不足，研究制定改进措施。</w:t>
            </w:r>
          </w:p>
          <w:p>
            <w:pPr>
              <w:pStyle w:val="null3"/>
            </w:pPr>
            <w:r>
              <w:rPr>
                <w:rFonts w:ascii="仿宋_GB2312" w:hAnsi="仿宋_GB2312" w:cs="仿宋_GB2312" w:eastAsia="仿宋_GB2312"/>
                <w:sz w:val="21"/>
              </w:rPr>
              <w:t>10.督导重点用能单位完成后期整改工作；</w:t>
            </w:r>
          </w:p>
          <w:p>
            <w:pPr>
              <w:pStyle w:val="null3"/>
            </w:pPr>
            <w:r>
              <w:rPr>
                <w:rFonts w:ascii="仿宋_GB2312" w:hAnsi="仿宋_GB2312" w:cs="仿宋_GB2312" w:eastAsia="仿宋_GB2312"/>
                <w:sz w:val="21"/>
              </w:rPr>
              <w:t>11.协助省局、省发改委完成能源计量审查后续工作。</w:t>
            </w:r>
          </w:p>
          <w:p>
            <w:pPr>
              <w:pStyle w:val="null3"/>
            </w:pPr>
            <w:r>
              <w:rPr>
                <w:rFonts w:ascii="仿宋_GB2312" w:hAnsi="仿宋_GB2312" w:cs="仿宋_GB2312" w:eastAsia="仿宋_GB2312"/>
                <w:sz w:val="21"/>
              </w:rPr>
              <w:t>三、技术标准</w:t>
            </w:r>
          </w:p>
          <w:p>
            <w:pPr>
              <w:pStyle w:val="null3"/>
            </w:pPr>
            <w:r>
              <w:rPr>
                <w:rFonts w:ascii="仿宋_GB2312" w:hAnsi="仿宋_GB2312" w:cs="仿宋_GB2312" w:eastAsia="仿宋_GB2312"/>
                <w:sz w:val="21"/>
              </w:rPr>
              <w:t>《节约能源法》、《计量法》和《能源计量监督管理办法》等有关法律法规，以及《JJF 1356－2012重点用能单位能源计量审查规范》、《GB 17167－2006用能单位能源计量器具配备和管理通则》等。</w:t>
            </w:r>
          </w:p>
          <w:p>
            <w:pPr>
              <w:pStyle w:val="null3"/>
            </w:pPr>
            <w:r>
              <w:rPr>
                <w:rFonts w:ascii="仿宋_GB2312" w:hAnsi="仿宋_GB2312" w:cs="仿宋_GB2312" w:eastAsia="仿宋_GB2312"/>
                <w:sz w:val="21"/>
              </w:rPr>
              <w:t>四、成果要求</w:t>
            </w:r>
          </w:p>
          <w:p>
            <w:pPr>
              <w:pStyle w:val="null3"/>
            </w:pPr>
            <w:r>
              <w:rPr>
                <w:rFonts w:ascii="仿宋_GB2312" w:hAnsi="仿宋_GB2312" w:cs="仿宋_GB2312" w:eastAsia="仿宋_GB2312"/>
                <w:sz w:val="21"/>
              </w:rPr>
              <w:t>每月向省局进行一次汇报，每季度提交一次《重点用能单位能源计量审查报告》。年底对245家的审查报告进行分析、汇总，形成《重点用能单位能源计量审查年度分析报告》并配合协助省局完成后续工作。</w:t>
            </w:r>
          </w:p>
          <w:p>
            <w:pPr>
              <w:pStyle w:val="null3"/>
            </w:pPr>
            <w:r>
              <w:rPr>
                <w:rFonts w:ascii="仿宋_GB2312" w:hAnsi="仿宋_GB2312" w:cs="仿宋_GB2312" w:eastAsia="仿宋_GB2312"/>
                <w:sz w:val="21"/>
              </w:rPr>
              <w:t>五、阶段目标</w:t>
            </w:r>
          </w:p>
          <w:p>
            <w:pPr>
              <w:pStyle w:val="null3"/>
            </w:pPr>
            <w:r>
              <w:rPr>
                <w:rFonts w:ascii="仿宋_GB2312" w:hAnsi="仿宋_GB2312" w:cs="仿宋_GB2312" w:eastAsia="仿宋_GB2312"/>
                <w:sz w:val="21"/>
              </w:rPr>
              <w:t>合同签订后1周内，按照区域完成审查计划和执行方案制定工作；</w:t>
            </w:r>
          </w:p>
          <w:p>
            <w:pPr>
              <w:pStyle w:val="null3"/>
            </w:pPr>
            <w:r>
              <w:rPr>
                <w:rFonts w:ascii="仿宋_GB2312" w:hAnsi="仿宋_GB2312" w:cs="仿宋_GB2312" w:eastAsia="仿宋_GB2312"/>
                <w:sz w:val="21"/>
              </w:rPr>
              <w:t>合同签订后2周内，完成重点用能单位自查报告收集工作；</w:t>
            </w:r>
          </w:p>
          <w:p>
            <w:pPr>
              <w:pStyle w:val="null3"/>
            </w:pPr>
            <w:r>
              <w:rPr>
                <w:rFonts w:ascii="仿宋_GB2312" w:hAnsi="仿宋_GB2312" w:cs="仿宋_GB2312" w:eastAsia="仿宋_GB2312"/>
                <w:sz w:val="21"/>
              </w:rPr>
              <w:t>2025年12月31日前，分阶段、分区域完成能源计量审查工作，并形成“重点用能单位能源计量审查报告”。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供应商按照采购文件及合同内容提供完整服务，服务期满且无争议，考核合格，视为验收合格。 验收过程中，若发现严重质量问题，且在规定时间内整改无效，采购人将进行严肃处理，并将其列入“不良行为记录名单”。 验收依据 磋商文件、磋商响应文件、合同文本、国内相应的标准、规范。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验收通过后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按《中华人民共和国民法典》及有关法律法规中的相关条款对违约情况进行处理；(2)未按合同要求提供服务或服务质量不能满足要求，采购人会同相关单位有权终止合同，并对违约方的违约行为进行追究，同时按有关法规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法定代表人参加磋商时，提供法定代表人证明书；授权代表参加磋商时，提供法定代表人授权书；非法人单位参照执行。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法人提供经审计的2023年度或2024年度的财务报告或提交磋商响应文件截止时间前一年内银行资信证明；或政府采购信用担保机构出具的投标担保函。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提供响应文件递交截止时间前近一年内至少一个月已缴纳的纳税凭据或完税证明；依法免税的供应商应提供相关文件证明。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提供响应文件截止时间前近一年内已缴存的至少一个月的社会保障资金缴存单据或社保机构开具的社会保险参保缴费情况证明，依法不需要缴纳社会保障资金的单位应提供相关证明材料。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提供具有履行本合同所必需的设备和专业技术能力的承诺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国家法定计量检定机构计量授权证书</w:t>
            </w:r>
          </w:p>
        </w:tc>
        <w:tc>
          <w:tcPr>
            <w:tcW w:type="dxa" w:w="3322"/>
          </w:tcPr>
          <w:p>
            <w:pPr>
              <w:pStyle w:val="null3"/>
            </w:pPr>
            <w:r>
              <w:rPr>
                <w:rFonts w:ascii="仿宋_GB2312" w:hAnsi="仿宋_GB2312" w:cs="仿宋_GB2312" w:eastAsia="仿宋_GB2312"/>
              </w:rPr>
              <w:t>供应商提供国家法定计量检定机构计量授权证书。</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投标有效期不足90天的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不满足磋商文件3.3条商务要求的</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磋商报价价格高于磋商文件公布的采购预算的。</w:t>
            </w:r>
          </w:p>
        </w:tc>
        <w:tc>
          <w:tcPr>
            <w:tcW w:type="dxa" w:w="1661"/>
          </w:tcPr>
          <w:p>
            <w:pPr>
              <w:pStyle w:val="null3"/>
            </w:pPr>
            <w:r>
              <w:rPr>
                <w:rFonts w:ascii="仿宋_GB2312" w:hAnsi="仿宋_GB2312" w:cs="仿宋_GB2312" w:eastAsia="仿宋_GB2312"/>
              </w:rPr>
              <w:t>分项报价表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出现不符合法律、法规和竞争性磋商文件中规定的其他实质性要求的情况，其响应文件按无效文件处理。</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根据供应商对项目整体及重点难点的分析赋分。 了解项目实施过程中的重点难点，并提出科学合理的应对策略，得5分； 明确了实施过程中的重点难点，并提出基本可行的应对策略，得4分； 相关分析及对应与实际不符，得2分； 未提供项目分析，得0分。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 I</w:t>
            </w:r>
          </w:p>
        </w:tc>
        <w:tc>
          <w:tcPr>
            <w:tcW w:type="dxa" w:w="2492"/>
          </w:tcPr>
          <w:p>
            <w:pPr>
              <w:pStyle w:val="null3"/>
            </w:pPr>
            <w:r>
              <w:rPr>
                <w:rFonts w:ascii="仿宋_GB2312" w:hAnsi="仿宋_GB2312" w:cs="仿宋_GB2312" w:eastAsia="仿宋_GB2312"/>
              </w:rPr>
              <w:t>根据供应商提供的“回头看”工作方案（对应“3.2.2服务要求 技术参数与性能指标 二、 服务内容”中序号“1”）赋分： 1.实施方案紧密贴合工作实际需求，内容详尽全面，服务描述条理清晰，针对性极强，完全符合项目要求，得5分； 2.实施方案符合工作基本要求，整体框架较为完备，服务内容阐述较为明确，与项目需求保持一致，得4分； 3.服务方案与工作需求存在出入，完整性有待提升，服务内容描述不够详尽，未能充分满足项目要求，方案不具体或存在漏项，得3分； 4.实施方案存在严重缺陷，得1分； 5.未提供具体实施方案，得0分。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实施方案II</w:t>
            </w:r>
          </w:p>
        </w:tc>
        <w:tc>
          <w:tcPr>
            <w:tcW w:type="dxa" w:w="2492"/>
          </w:tcPr>
          <w:p>
            <w:pPr>
              <w:pStyle w:val="null3"/>
            </w:pPr>
            <w:r>
              <w:rPr>
                <w:rFonts w:ascii="仿宋_GB2312" w:hAnsi="仿宋_GB2312" w:cs="仿宋_GB2312" w:eastAsia="仿宋_GB2312"/>
              </w:rPr>
              <w:t>根据供应商提供的能源计量审查工作方案（对应“3.2.2服务要求 技术参数与性能指标 二、 服务内容”中序号“1”）赋分： 1.实施方案紧密贴合工作实际需求，内容详尽全面，服务描述条理清晰，针对性极强，完全符合项目要求，得10分； 2.实施方案符合工作基本要求，整体框架较为完备，服务内容阐述较为明确，与项目需求保持一致，得8分； 3.服务方案与工作需求存在出入，完整性有待提升，服务内容描述不够详尽，未能充分满足项目要求，方案不具体或存在漏项，得5分； 4.实施方案存在严重缺陷，得3分； 5.未提供具体实施方案，得0分。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实施方案III</w:t>
            </w:r>
          </w:p>
        </w:tc>
        <w:tc>
          <w:tcPr>
            <w:tcW w:type="dxa" w:w="2492"/>
          </w:tcPr>
          <w:p>
            <w:pPr>
              <w:pStyle w:val="null3"/>
            </w:pPr>
            <w:r>
              <w:rPr>
                <w:rFonts w:ascii="仿宋_GB2312" w:hAnsi="仿宋_GB2312" w:cs="仿宋_GB2312" w:eastAsia="仿宋_GB2312"/>
              </w:rPr>
              <w:t>根据供应商提供的用能单位指导帮扶方案（对应“3.2.2服务要求 技术参数与性能指标 二、 服务内容”中序号“3.4.5.6.7”）赋分： 1.实施方案紧密贴合工作实际需求，内容详尽全面，服务描述条理清晰，针对性极强，完全符合项目要求，得5分； 2.实施方案符合工作基本要求，整体框架较为完备，服务内容阐述较为明确，与项目需求保持一致，得4分； 3.服务方案与工作需求存在出入，完整性有待提升，服务内容描述不够详尽，未能充分满足项目要求，方案不具体或存在漏项，得3分； 4.实施方案存在严重缺陷，得1分； 5.未提供具体实施方案，得0分。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实施方案IV</w:t>
            </w:r>
          </w:p>
        </w:tc>
        <w:tc>
          <w:tcPr>
            <w:tcW w:type="dxa" w:w="2492"/>
          </w:tcPr>
          <w:p>
            <w:pPr>
              <w:pStyle w:val="null3"/>
            </w:pPr>
            <w:r>
              <w:rPr>
                <w:rFonts w:ascii="仿宋_GB2312" w:hAnsi="仿宋_GB2312" w:cs="仿宋_GB2312" w:eastAsia="仿宋_GB2312"/>
              </w:rPr>
              <w:t>根据供应商提供的重点用能单位分析指导、协助省局省发改委后续工作方案（对应“3.2.2服务要求 技术参数与性能指标 二、 服务内容”中序号“8.9.10.11”）赋分： 1.实施方案紧密贴合工作实际需求，内容详尽全面，服务描述条理清晰，针对性极强，完全符合项目要求，得5分； 2.实施方案符合工作基本要求，整体框架较为完备，服务内容阐述较为明确，与项目需求保持一致，得4分； 3.服务方案与工作需求存在出入，完整性有待提升，服务内容描述不够详尽，未能充分满足项目要求，方案不具体或存在漏项，得3分； 4.实施方案存在严重缺陷，得1分； 5.未提供具体实施方案，得0分。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进度保证</w:t>
            </w:r>
          </w:p>
        </w:tc>
        <w:tc>
          <w:tcPr>
            <w:tcW w:type="dxa" w:w="2492"/>
          </w:tcPr>
          <w:p>
            <w:pPr>
              <w:pStyle w:val="null3"/>
            </w:pPr>
            <w:r>
              <w:rPr>
                <w:rFonts w:ascii="仿宋_GB2312" w:hAnsi="仿宋_GB2312" w:cs="仿宋_GB2312" w:eastAsia="仿宋_GB2312"/>
              </w:rPr>
              <w:t>根据供应商提供的进度保证方案赋分： 1.方案措施科学、合理、针对性强，完全满足项目要求，得5分； 2.方案措施较合理、能满足项目要求，针对性基本符合项目要求，得4分； 3.方案措施不合理，无针对性措施，得2分； 4.未提供措施方案的，得0分。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根据供应商提供的质量保障方案赋分： 1.重点用能企业能源计量审查工作质量控制严格精准，无论是审查工作的执行，还是数据的审查工作统计分析，都具有严格的数据质量控制体系，得5分； 2.重点用能企业能源计量审查工作质量控制体系具备，符合项目要求，得4分； 3.重点用能企业能源计量审查工作质量控制体系具备，与本项目不具备相关性，得2分； 4.未提供措施方案的，得0分。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服务承诺和合理化建议</w:t>
            </w:r>
          </w:p>
        </w:tc>
        <w:tc>
          <w:tcPr>
            <w:tcW w:type="dxa" w:w="2492"/>
          </w:tcPr>
          <w:p>
            <w:pPr>
              <w:pStyle w:val="null3"/>
            </w:pPr>
            <w:r>
              <w:rPr>
                <w:rFonts w:ascii="仿宋_GB2312" w:hAnsi="仿宋_GB2312" w:cs="仿宋_GB2312" w:eastAsia="仿宋_GB2312"/>
              </w:rPr>
              <w:t>根据供应商提供的服务承诺和合理化建议赋分： 1.服务承诺及合理化建议具体、切实可行，编制的《重点用能单位能源计量审查报告》符合采购单位标准和要求，并承诺通过专家评审，得5分； 2.服务承诺及合理化建议有一定可行性，编制的《重点用能单位能源计量审查报告》基本符合采购单位标准和要求，得4分； 3.服务承诺及合理化建议不可行，编制的《重点用能单位能源计量审查报告》不符合采购单位标准和要求，得3分； 4.未提供说明的，得0分。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根据供应商对本项目提供的应急预案内容赋分： 1.应急预案紧密贴合工作实际需求，内容详尽全面，服务描述条理清晰，针对性极强，完全符合项目要求，得5分； 2.应急预案符合工作基本要求，服务内容阐述较为明确，得4分； 3.应急预案与实际工作需求存在出入，完整性有待提升，存在漏洞，得2分； 4.未提供具体方案，得0分。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根据供应商拟投入本项目的团队人员配备情况进行赋分： 1.供应商拟投入本项目的团队人员满足本项目实际需求，岗位职责分工明确、人员结构安排合理、主要负责人和项目组成人员具有从业经验，得5分； 2.项目团队人员有职责分工，主要负责人和项目组成人员具有从业经验，得4分； 3.项目团队人员有职责分工，得3分； 4.项目团队人员职责分工及结构安排混乱，得1分； 5.未提供人员安排，得0分。 （注：须提供以上人员从业经验的证明材料。）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技术保障</w:t>
            </w:r>
          </w:p>
        </w:tc>
        <w:tc>
          <w:tcPr>
            <w:tcW w:type="dxa" w:w="2492"/>
          </w:tcPr>
          <w:p>
            <w:pPr>
              <w:pStyle w:val="null3"/>
            </w:pPr>
            <w:r>
              <w:rPr>
                <w:rFonts w:ascii="仿宋_GB2312" w:hAnsi="仿宋_GB2312" w:cs="仿宋_GB2312" w:eastAsia="仿宋_GB2312"/>
              </w:rPr>
              <w:t>根据供应商提供的技术保障证明材料赋分： 1.取得国家、省市级计量检测创新平台1项，得0.5分，最高不超过5分。 2.通过国家级CMA资质，得3分，省市级CMA资质，得2分，通过CNAS资质，得2分，最高不超过5分。 3.以第一起草单位起草计量技术规范或标准每项得0.5分，最高不超过5分。 4.以第一发明单位授权发明专利每件，得0.5分，以第一发明单位授权实用新型专利每件，得0.3分，最高不超过5分。 5.拥有双碳相关计量测试技术团队，得5分。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根据供应商提供的2022年1月1日至今的同类项目业绩赋分，以合同为准，由评委按份数赋分，每份2分，满分10分。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分值计算方法：P=10×Pmin/Pn 其中：Pmin：所有有效磋商的最终最低报价。 Pn：第n个供应商的最终报价。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详见附件：服务内容及服务要求应答表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