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版本号：SXZCX2024-02020250619002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移动护理采购项目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SXZCX2024-020</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移动护理采购项目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SXZCX2024-020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移动护理采购项目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移动护理采购项目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1、法定代表人授权书：法定代表人授权书及被授权人身份证（加盖公章）（法定代表人直接参加投标，只须提交其身份证）（复印件加盖公章）。</w:t>
      </w:r>
    </w:p>
    <w:p>
      <w:pPr>
        <w:pStyle w:val="null3"/>
      </w:pPr>
      <w:r>
        <w:rPr>
          <w:rFonts w:ascii="仿宋_GB2312" w:hAnsi="仿宋_GB2312" w:cs="仿宋_GB2312" w:eastAsia="仿宋_GB2312"/>
        </w:rPr>
        <w:t>2、营业执照：具有独立承担民事责任能力的法人或其他组织，提供合法有效的统一社会信用代码的营业执照。</w:t>
      </w:r>
    </w:p>
    <w:p>
      <w:pPr>
        <w:pStyle w:val="null3"/>
      </w:pPr>
      <w:r>
        <w:rPr>
          <w:rFonts w:ascii="仿宋_GB2312" w:hAnsi="仿宋_GB2312" w:cs="仿宋_GB2312" w:eastAsia="仿宋_GB2312"/>
        </w:rPr>
        <w:t>3、税收缴纳证明：提供2024年1月1日至投标截止日前任意一个月的纳税证明或完税证明（任意税种），依法免税的单位应提供相关证明材料。</w:t>
      </w:r>
    </w:p>
    <w:p>
      <w:pPr>
        <w:pStyle w:val="null3"/>
      </w:pPr>
      <w:r>
        <w:rPr>
          <w:rFonts w:ascii="仿宋_GB2312" w:hAnsi="仿宋_GB2312" w:cs="仿宋_GB2312" w:eastAsia="仿宋_GB2312"/>
        </w:rPr>
        <w:t>4、社保缴纳证明：提供2024年1月1日至投标截止日前任意一个月的社会保障资金缴存单据或社保机构开具的社会保险参保缴费情况证明，依法不需要缴纳社会保障资金的单位应提供相关证明材料。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5、三年无重大违法声明：投标人必须提供参加政府采购活动前3年内在经营活动中没有重大违法记录的书面声明。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6、具有履行合同所必需的设备和专业技术能力的书面承诺：：提供具有履行合同所必需的设备和专业技术能力的书面承诺。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单娟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029-85243851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参照《国家计委关于印发&lt;招标代理服务收费管理暂行办法&gt;的通知》（计价格[2002]1980号）文件规定计取。并按照国家发展改革委员会办公厅颁发的《关于招标代理服务收费有关问题的通知》（发改办价格[2003] 857号）规定标准下浮30%收取。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本项目采购人将严格按照政府采购相关法律法规以及《财政部关于进一步加强政府采购需求和履约验收管理的指导意见》（财库[2016]205号）的要求进行验收。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联系人：单娟</w:t>
      </w:r>
    </w:p>
    <w:p>
      <w:pPr>
        <w:pStyle w:val="null3"/>
      </w:pPr>
      <w:r>
        <w:rPr>
          <w:rFonts w:ascii="仿宋_GB2312" w:hAnsi="仿宋_GB2312" w:cs="仿宋_GB2312" w:eastAsia="仿宋_GB2312"/>
        </w:rPr>
        <w:t>联系电话：029-85243851</w:t>
      </w:r>
    </w:p>
    <w:p>
      <w:pPr>
        <w:pStyle w:val="null3"/>
      </w:pPr>
      <w:r>
        <w:rPr>
          <w:rFonts w:ascii="仿宋_GB2312" w:hAnsi="仿宋_GB2312" w:cs="仿宋_GB2312" w:eastAsia="仿宋_GB2312"/>
        </w:rPr>
        <w:t>地址：西安市碑林区南二环西段华融国际商务大厦A座11E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移动护理采购项目，具体要求详见招标文件。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4,200,000.00</w:t>
      </w:r>
    </w:p>
    <w:p>
      <w:pPr>
        <w:pStyle w:val="null3"/>
      </w:pPr>
      <w:r>
        <w:rPr>
          <w:rFonts w:ascii="仿宋_GB2312" w:hAnsi="仿宋_GB2312" w:cs="仿宋_GB2312" w:eastAsia="仿宋_GB2312"/>
        </w:rPr>
        <w:t>采购包最高限价（元）: 4,200,000.00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移动护理采购项目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标的名称：移动护理采购项目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ind w:firstLine="420"/>
            </w:pPr>
            <w:r>
              <w:rPr>
                <w:rFonts w:ascii="仿宋_GB2312" w:hAnsi="仿宋_GB2312" w:cs="仿宋_GB2312" w:eastAsia="仿宋_GB2312"/>
                <w:sz w:val="21"/>
              </w:rPr>
              <w:t>供应商报价不允许超过标的金额</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（招单价的）供应商报价不允许超过标的单价</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标的名称：</w:t>
            </w:r>
            <w:r>
              <w:rPr>
                <w:rFonts w:ascii="仿宋_GB2312" w:hAnsi="仿宋_GB2312" w:cs="仿宋_GB2312" w:eastAsia="仿宋_GB2312"/>
                <w:sz w:val="21"/>
              </w:rPr>
              <w:t>移动护理采购项目。</w:t>
            </w:r>
          </w:p>
          <w:p>
            <w:pPr>
              <w:pStyle w:val="null3"/>
            </w:pPr>
            <w:r>
              <w:rPr>
                <w:rFonts w:ascii="仿宋_GB2312" w:hAnsi="仿宋_GB2312" w:cs="仿宋_GB2312" w:eastAsia="仿宋_GB2312"/>
                <w:sz w:val="24"/>
                <w:b/>
              </w:rPr>
              <w:t>技术参数：</w:t>
            </w:r>
          </w:p>
          <w:p>
            <w:pPr>
              <w:pStyle w:val="null3"/>
            </w:pPr>
            <w:r>
              <w:rPr>
                <w:rFonts w:ascii="仿宋_GB2312" w:hAnsi="仿宋_GB2312" w:cs="仿宋_GB2312" w:eastAsia="仿宋_GB2312"/>
                <w:sz w:val="24"/>
                <w:b/>
              </w:rPr>
              <w:t>一、技术要求</w:t>
            </w:r>
          </w:p>
          <w:p>
            <w:pPr>
              <w:pStyle w:val="null3"/>
              <w:ind w:firstLine="420"/>
            </w:pPr>
            <w:r>
              <w:rPr>
                <w:rFonts w:ascii="仿宋_GB2312" w:hAnsi="仿宋_GB2312" w:cs="仿宋_GB2312" w:eastAsia="仿宋_GB2312"/>
                <w:sz w:val="21"/>
              </w:rPr>
              <w:t>（一）总体要求</w:t>
            </w:r>
          </w:p>
          <w:p>
            <w:pPr>
              <w:pStyle w:val="null3"/>
              <w:ind w:firstLine="420"/>
            </w:pPr>
            <w:r>
              <w:rPr>
                <w:rFonts w:ascii="仿宋_GB2312" w:hAnsi="仿宋_GB2312" w:cs="仿宋_GB2312" w:eastAsia="仿宋_GB2312"/>
                <w:sz w:val="21"/>
              </w:rPr>
              <w:t>1、本项目为交钥匙工程，报价为总价包干，投标人应自行考虑本项目在实施期间一切可能产生的费用，在合同执行过程中，采购人将不再另行支付与本项目相关的任何费用。采购人不统一组织踏勘现场，采购人负责协调配合，指导进行设备配置工作，投标人须依现场踏勘结果进行深化设计和施工量、主辅材核算，并充分预算</w:t>
            </w:r>
            <w:r>
              <w:rPr>
                <w:rFonts w:ascii="仿宋_GB2312" w:hAnsi="仿宋_GB2312" w:cs="仿宋_GB2312" w:eastAsia="仿宋_GB2312"/>
                <w:sz w:val="21"/>
              </w:rPr>
              <w:t>，</w:t>
            </w:r>
            <w:r>
              <w:rPr>
                <w:rFonts w:ascii="仿宋_GB2312" w:hAnsi="仿宋_GB2312" w:cs="仿宋_GB2312" w:eastAsia="仿宋_GB2312"/>
                <w:sz w:val="21"/>
              </w:rPr>
              <w:t>本期</w:t>
            </w:r>
            <w:r>
              <w:rPr>
                <w:rFonts w:ascii="仿宋_GB2312" w:hAnsi="仿宋_GB2312" w:cs="仿宋_GB2312" w:eastAsia="仿宋_GB2312"/>
                <w:sz w:val="21"/>
              </w:rPr>
              <w:t>实现</w:t>
            </w:r>
            <w:r>
              <w:rPr>
                <w:rFonts w:ascii="仿宋_GB2312" w:hAnsi="仿宋_GB2312" w:cs="仿宋_GB2312" w:eastAsia="仿宋_GB2312"/>
                <w:sz w:val="21"/>
              </w:rPr>
              <w:t>医院住院一部、二部、门诊</w:t>
            </w:r>
            <w:r>
              <w:rPr>
                <w:rFonts w:ascii="仿宋_GB2312" w:hAnsi="仿宋_GB2312" w:cs="仿宋_GB2312" w:eastAsia="仿宋_GB2312"/>
                <w:sz w:val="21"/>
              </w:rPr>
              <w:t>、</w:t>
            </w:r>
            <w:r>
              <w:rPr>
                <w:rFonts w:ascii="仿宋_GB2312" w:hAnsi="仿宋_GB2312" w:cs="仿宋_GB2312" w:eastAsia="仿宋_GB2312"/>
                <w:sz w:val="21"/>
              </w:rPr>
              <w:t>皮肤病院内</w:t>
            </w:r>
            <w:r>
              <w:rPr>
                <w:rFonts w:ascii="仿宋_GB2312" w:hAnsi="仿宋_GB2312" w:cs="仿宋_GB2312" w:eastAsia="仿宋_GB2312"/>
                <w:sz w:val="21"/>
              </w:rPr>
              <w:t>外网</w:t>
            </w:r>
            <w:r>
              <w:rPr>
                <w:rFonts w:ascii="仿宋_GB2312" w:hAnsi="仿宋_GB2312" w:cs="仿宋_GB2312" w:eastAsia="仿宋_GB2312"/>
                <w:sz w:val="21"/>
              </w:rPr>
              <w:t>WiFi信号强度不能低于-65dbm，</w:t>
            </w:r>
            <w:r>
              <w:rPr>
                <w:rFonts w:ascii="仿宋_GB2312" w:hAnsi="仿宋_GB2312" w:cs="仿宋_GB2312" w:eastAsia="仿宋_GB2312"/>
                <w:sz w:val="21"/>
              </w:rPr>
              <w:t>内网更新改造、</w:t>
            </w:r>
            <w:r>
              <w:rPr>
                <w:rFonts w:ascii="仿宋_GB2312" w:hAnsi="仿宋_GB2312" w:cs="仿宋_GB2312" w:eastAsia="仿宋_GB2312"/>
                <w:sz w:val="21"/>
              </w:rPr>
              <w:t>无线网络设计、设备安装调试、固定配件、综合布线、人工费、主辅材等均包含在本项目范围内由中标单位完成；（提供承诺函，加盖投标人公章）</w:t>
            </w:r>
          </w:p>
          <w:p>
            <w:pPr>
              <w:pStyle w:val="null3"/>
              <w:ind w:firstLine="420"/>
            </w:pPr>
            <w:r>
              <w:rPr>
                <w:rFonts w:ascii="仿宋_GB2312" w:hAnsi="仿宋_GB2312" w:cs="仿宋_GB2312" w:eastAsia="仿宋_GB2312"/>
                <w:sz w:val="21"/>
              </w:rPr>
              <w:t>2、本项目所采购的无线网络相关设备须根据现场情况进行安装，因本项目实施而产生的墙板、吊顶的拆装费用，对原装修和安装工程成品破坏、毁损产生的恢复维修费用等均包含在本项目范围内由中标单位承担；（提供承诺函，加盖投标人公章）</w:t>
            </w:r>
          </w:p>
          <w:p>
            <w:pPr>
              <w:pStyle w:val="null3"/>
              <w:ind w:firstLine="420"/>
            </w:pPr>
            <w:r>
              <w:rPr>
                <w:rFonts w:ascii="仿宋_GB2312" w:hAnsi="仿宋_GB2312" w:cs="仿宋_GB2312" w:eastAsia="仿宋_GB2312"/>
                <w:sz w:val="21"/>
              </w:rPr>
              <w:t>3、供应商在项目实施过程中，详细记录系统设计、配置、调试等各个环节的关键信息，形成完整的项目文档资料，便于后续的技术支持、故障排查及系统升级。（提供承诺函，加盖投标人公章）</w:t>
            </w:r>
          </w:p>
          <w:p>
            <w:pPr>
              <w:pStyle w:val="null3"/>
              <w:ind w:firstLine="420"/>
            </w:pPr>
            <w:r>
              <w:rPr>
                <w:rFonts w:ascii="仿宋_GB2312" w:hAnsi="仿宋_GB2312" w:cs="仿宋_GB2312" w:eastAsia="仿宋_GB2312"/>
                <w:sz w:val="21"/>
              </w:rPr>
              <w:t>4、本项目实施完成之后，若因大楼改造、业务用房功能调整需对设备进行拆装，由中标方负责在三年内配合院方大楼建设对无线网络末端设备和综合布线点位进行拆装。（提供承诺函，加盖投标人公章）</w:t>
            </w:r>
          </w:p>
          <w:p>
            <w:pPr>
              <w:pStyle w:val="null3"/>
              <w:ind w:firstLine="420"/>
            </w:pPr>
            <w:r>
              <w:rPr>
                <w:rFonts w:ascii="仿宋_GB2312" w:hAnsi="仿宋_GB2312" w:cs="仿宋_GB2312" w:eastAsia="仿宋_GB2312"/>
                <w:sz w:val="21"/>
              </w:rPr>
              <w:t>5、供应商提供满足本项目末端设备安装所需的所有主辅材（含：跳线、镀锌钢管、管卡、底盒、丝杆、接头等）以及安装、调试工作。（提供承诺函，加盖投标人公章）</w:t>
            </w:r>
          </w:p>
          <w:p>
            <w:pPr>
              <w:pStyle w:val="null3"/>
              <w:ind w:firstLine="420"/>
            </w:pPr>
            <w:r>
              <w:rPr>
                <w:rFonts w:ascii="仿宋_GB2312" w:hAnsi="仿宋_GB2312" w:cs="仿宋_GB2312" w:eastAsia="仿宋_GB2312"/>
                <w:sz w:val="21"/>
              </w:rPr>
              <w:t>6、在质保期间，投标人需要提供最新的产品清单，包括但不限于产品优化升级等，投标人不能限制医院的</w:t>
            </w:r>
            <w:r>
              <w:rPr>
                <w:rFonts w:ascii="仿宋_GB2312" w:hAnsi="仿宋_GB2312" w:cs="仿宋_GB2312" w:eastAsia="仿宋_GB2312"/>
                <w:sz w:val="21"/>
              </w:rPr>
              <w:t>终端</w:t>
            </w:r>
            <w:r>
              <w:rPr>
                <w:rFonts w:ascii="仿宋_GB2312" w:hAnsi="仿宋_GB2312" w:cs="仿宋_GB2312" w:eastAsia="仿宋_GB2312"/>
                <w:sz w:val="21"/>
              </w:rPr>
              <w:t>数量</w:t>
            </w:r>
            <w:r>
              <w:rPr>
                <w:rFonts w:ascii="仿宋_GB2312" w:hAnsi="仿宋_GB2312" w:cs="仿宋_GB2312" w:eastAsia="仿宋_GB2312"/>
                <w:sz w:val="21"/>
              </w:rPr>
              <w:t>并充分考虑招标人多院区授权需求</w:t>
            </w:r>
            <w:r>
              <w:rPr>
                <w:rFonts w:ascii="仿宋_GB2312" w:hAnsi="仿宋_GB2312" w:cs="仿宋_GB2312" w:eastAsia="仿宋_GB2312"/>
                <w:sz w:val="21"/>
              </w:rPr>
              <w:t>，投标人对本项目所提供的所有信息系统的使用不侵犯任何他人的有关权利并保证所提供的信息系统无任何权属纠纷和债权债务纠纷。在质保期间，满足医院基于服务内容所有新需求，包括但不限于法规政策、报表、各类设备对接等，以及医院流程的新增和变更，投标人需要免费提供涉及产品所有技术服务。对于投标人新研发的软件，投标人应按本项目同样的标准提供服务，不再另行收费。在运行过程中保证医院信息系统持续改进和全新升级，始终与各项政策、上级报送要求保持一致。系统必须能够满足多院区需求，具备可扩展性和灵活性。能够实现跨院区的数据集成与共享，确保各院区之间业务流程的协同与一致。</w:t>
            </w:r>
          </w:p>
          <w:p>
            <w:pPr>
              <w:pStyle w:val="null3"/>
              <w:ind w:firstLine="482"/>
              <w:jc w:val="both"/>
            </w:pPr>
            <w:r>
              <w:rPr>
                <w:rFonts w:ascii="仿宋_GB2312" w:hAnsi="仿宋_GB2312" w:cs="仿宋_GB2312" w:eastAsia="仿宋_GB2312"/>
                <w:sz w:val="24"/>
                <w:b/>
              </w:rPr>
              <w:t>二、移动护理系统</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453"/>
              <w:gridCol w:w="521"/>
              <w:gridCol w:w="1568"/>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w:t>
                  </w:r>
                </w:p>
              </w:tc>
              <w:tc>
                <w:tcPr>
                  <w:tcW w:type="dxa" w:w="1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要求</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接口及系统集成</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1、数据接口</w:t>
                  </w:r>
                  <w:r>
                    <w:rPr>
                      <w:rFonts w:ascii="仿宋_GB2312" w:hAnsi="仿宋_GB2312" w:cs="仿宋_GB2312" w:eastAsia="仿宋_GB2312"/>
                      <w:sz w:val="21"/>
                    </w:rPr>
                    <w:t>具有</w:t>
                  </w:r>
                  <w:r>
                    <w:rPr>
                      <w:rFonts w:ascii="仿宋_GB2312" w:hAnsi="仿宋_GB2312" w:cs="仿宋_GB2312" w:eastAsia="仿宋_GB2312"/>
                      <w:sz w:val="21"/>
                    </w:rPr>
                    <w:t>与第三方系统</w:t>
                  </w:r>
                  <w:r>
                    <w:rPr>
                      <w:rFonts w:ascii="仿宋_GB2312" w:hAnsi="仿宋_GB2312" w:cs="仿宋_GB2312" w:eastAsia="仿宋_GB2312"/>
                      <w:sz w:val="21"/>
                    </w:rPr>
                    <w:t>HIS/EMR 等双向对接，同步信息，获取科室、病区、患者信息，诊断、检验结果、电子病历等相关信息。</w:t>
                  </w:r>
                </w:p>
                <w:p>
                  <w:pPr>
                    <w:pStyle w:val="null3"/>
                    <w:jc w:val="both"/>
                  </w:pPr>
                  <w:r>
                    <w:rPr>
                      <w:rFonts w:ascii="仿宋_GB2312" w:hAnsi="仿宋_GB2312" w:cs="仿宋_GB2312" w:eastAsia="仿宋_GB2312"/>
                      <w:sz w:val="21"/>
                    </w:rPr>
                    <w:t>2、数据接口</w:t>
                  </w:r>
                  <w:r>
                    <w:rPr>
                      <w:rFonts w:ascii="仿宋_GB2312" w:hAnsi="仿宋_GB2312" w:cs="仿宋_GB2312" w:eastAsia="仿宋_GB2312"/>
                      <w:sz w:val="21"/>
                    </w:rPr>
                    <w:t>具有</w:t>
                  </w:r>
                  <w:r>
                    <w:rPr>
                      <w:rFonts w:ascii="仿宋_GB2312" w:hAnsi="仿宋_GB2312" w:cs="仿宋_GB2312" w:eastAsia="仿宋_GB2312"/>
                      <w:sz w:val="21"/>
                    </w:rPr>
                    <w:t>与第三方系统</w:t>
                  </w:r>
                  <w:r>
                    <w:rPr>
                      <w:rFonts w:ascii="仿宋_GB2312" w:hAnsi="仿宋_GB2312" w:cs="仿宋_GB2312" w:eastAsia="仿宋_GB2312"/>
                      <w:sz w:val="21"/>
                    </w:rPr>
                    <w:t>HIS/EMR集成浏览界面。</w:t>
                  </w:r>
                </w:p>
                <w:p>
                  <w:pPr>
                    <w:pStyle w:val="null3"/>
                    <w:jc w:val="both"/>
                  </w:pPr>
                  <w:r>
                    <w:rPr>
                      <w:rFonts w:ascii="仿宋_GB2312" w:hAnsi="仿宋_GB2312" w:cs="仿宋_GB2312" w:eastAsia="仿宋_GB2312"/>
                      <w:sz w:val="21"/>
                    </w:rPr>
                    <w:t>3、冲突检测（避免多人同时操作同一医嘱）。</w:t>
                  </w:r>
                  <w:r>
                    <w:br/>
                  </w:r>
                  <w:r>
                    <w:rPr>
                      <w:rFonts w:ascii="仿宋_GB2312" w:hAnsi="仿宋_GB2312" w:cs="仿宋_GB2312" w:eastAsia="仿宋_GB2312"/>
                      <w:sz w:val="21"/>
                    </w:rPr>
                    <w:t>4、护士端实时接收待执行医嘱提醒（声音、震动、弹窗等方式）。</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系统权限设置</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用户账户管理</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系统密码强度校验、密码具有限期管理功能。</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用户权限管理</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系统操作人员权限分配管理，实现院、科、病区、个人分级管理。</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异常操作记录</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记录用户使用系统过程中的异常操作。</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患者信息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患者信息查看</w:t>
                  </w:r>
                  <w:r>
                    <w:rPr>
                      <w:rFonts w:ascii="仿宋_GB2312" w:hAnsi="仿宋_GB2312" w:cs="仿宋_GB2312" w:eastAsia="仿宋_GB2312"/>
                      <w:sz w:val="21"/>
                    </w:rPr>
                    <w:t>/查询</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具有在患者主页查看患者的详细信息的功能，包括患者身份证、联系人、住址、医保类别、费别，当前的费用总额、押金、余额或欠费等信息。并用不同颜色区分护理等级。</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用住院号、姓名、床号等信息对患者进行快速查找。</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责任组功能</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要求与</w:t>
                  </w:r>
                  <w:r>
                    <w:rPr>
                      <w:rFonts w:ascii="仿宋_GB2312" w:hAnsi="仿宋_GB2312" w:cs="仿宋_GB2312" w:eastAsia="仿宋_GB2312"/>
                      <w:sz w:val="21"/>
                    </w:rPr>
                    <w:t>HIS端维护的责任组同步，登录护士可以手动选择自己负责的责任组进行保存，保存之后床位一览将展示所选责任组涉及的床位，并且后续消息推送也会根据责任组进行精准推送。</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医嘱管理</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医嘱查看</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具有查看医生开的原始医嘱，也可以查看根据医嘱执行时间拆分后的医嘱。</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医嘱查询</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对各种医嘱，按照时间、分类（药品、输液、护理、治疗、检查、检验等）、类型（长期、临时）、执行情况（已执行、未执行）等条件组合查询，显示医嘱用法、用量、滴速、备注以及医嘱执行</w:t>
                  </w:r>
                  <w:r>
                    <w:rPr>
                      <w:rFonts w:ascii="仿宋_GB2312" w:hAnsi="仿宋_GB2312" w:cs="仿宋_GB2312" w:eastAsia="仿宋_GB2312"/>
                      <w:sz w:val="21"/>
                    </w:rPr>
                    <w:t>等</w:t>
                  </w:r>
                  <w:r>
                    <w:rPr>
                      <w:rFonts w:ascii="仿宋_GB2312" w:hAnsi="仿宋_GB2312" w:cs="仿宋_GB2312" w:eastAsia="仿宋_GB2312"/>
                      <w:sz w:val="21"/>
                    </w:rPr>
                    <w:t>状态。</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输液医嘱</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摆药、核对、配药、配药核对</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具有进行摆药、摆药核对、配药、配药核对，记录操作人、操作时间及核对人、核对时间等功能。</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输液医嘱执行</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具有在输液类医嘱执行前首先扫描患者腕带条码</w:t>
                  </w:r>
                  <w:r>
                    <w:rPr>
                      <w:rFonts w:ascii="仿宋_GB2312" w:hAnsi="仿宋_GB2312" w:cs="仿宋_GB2312" w:eastAsia="仿宋_GB2312"/>
                      <w:sz w:val="21"/>
                    </w:rPr>
                    <w:t>,再扫描输液瓶签上的条码，当两者匹配后继续用药（同时记录用药时间和用药人）；如不匹配不能继续执行并进行提醒功能。</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输液巡视</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对执行用药患者情况查看及一般情况的基本操作，包括暂停，继续，终止，录入滴速和异常情况。</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结束输液</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▲具有通过PDA扫描结束输液，系统自动记录输液结束时间、执行人。在连续输液时，可以开始新一瓶输液并自动结束上一瓶功能。</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医嘱执行</w:t>
                  </w:r>
                  <w:r>
                    <w:rPr>
                      <w:rFonts w:ascii="仿宋_GB2312" w:hAnsi="仿宋_GB2312" w:cs="仿宋_GB2312" w:eastAsia="仿宋_GB2312"/>
                      <w:sz w:val="21"/>
                    </w:rPr>
                    <w:t>-多组输液</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同时多个输液医嘱同时执行。</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高危药品双人核对</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当患者使用高危药品时，按要求需要双人核对确认后方可执行。</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医嘱补执行</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护士对患者用药未能通过</w:t>
                  </w:r>
                  <w:r>
                    <w:rPr>
                      <w:rFonts w:ascii="仿宋_GB2312" w:hAnsi="仿宋_GB2312" w:cs="仿宋_GB2312" w:eastAsia="仿宋_GB2312"/>
                      <w:sz w:val="21"/>
                    </w:rPr>
                    <w:t>PDA执行，支持在PC端进行补录。</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执行结果回写</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将输液医嘱执行结果回写至</w:t>
                  </w:r>
                  <w:r>
                    <w:rPr>
                      <w:rFonts w:ascii="仿宋_GB2312" w:hAnsi="仿宋_GB2312" w:cs="仿宋_GB2312" w:eastAsia="仿宋_GB2312"/>
                      <w:sz w:val="21"/>
                    </w:rPr>
                    <w:t>HIS或电子病历系统中。</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注射医嘱</w:t>
                  </w:r>
                </w:p>
                <w:p>
                  <w:pPr>
                    <w:pStyle w:val="null3"/>
                    <w:jc w:val="both"/>
                  </w:p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针剂医嘱执行</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具有在注射类医嘱执行前首先扫描患者腕带条码</w:t>
                  </w:r>
                  <w:r>
                    <w:rPr>
                      <w:rFonts w:ascii="仿宋_GB2312" w:hAnsi="仿宋_GB2312" w:cs="仿宋_GB2312" w:eastAsia="仿宋_GB2312"/>
                      <w:sz w:val="21"/>
                    </w:rPr>
                    <w:t>,再扫描输液瓶签上的条码，当两者匹配后继续用药（同时记录用药时间和用药人）；如不匹配进行提醒。支持患者签字确认。</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高危药品双人核对</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具有使用高危药品时，按要求双人核对确认后执行的功能。</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医嘱补执行</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具有对患者用药未能通过</w:t>
                  </w:r>
                  <w:r>
                    <w:rPr>
                      <w:rFonts w:ascii="仿宋_GB2312" w:hAnsi="仿宋_GB2312" w:cs="仿宋_GB2312" w:eastAsia="仿宋_GB2312"/>
                      <w:sz w:val="21"/>
                    </w:rPr>
                    <w:t>PDA执行，支持在PC端进行补录的功能。</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执行结果回写</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可将注射医嘱执行结果回写至</w:t>
                  </w:r>
                  <w:r>
                    <w:rPr>
                      <w:rFonts w:ascii="仿宋_GB2312" w:hAnsi="仿宋_GB2312" w:cs="仿宋_GB2312" w:eastAsia="仿宋_GB2312"/>
                      <w:sz w:val="21"/>
                    </w:rPr>
                    <w:t>HIS或电子病历系统中。</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皮试医嘱</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皮试医嘱执行</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具有在皮试医嘱执行前扫描腕带信息匹配可用药，不匹配有提醒，同时记录用药时间及用药人信息。</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皮试结果提醒</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▲具有扫描腕带和皮试药签进行皮试，到时间（可自定义设置）后，自动提醒护士录入皮试结果，并有双人进行核对皮试结果功能。</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皮试结果记录</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扫描患者腕带录入皮试结果。</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皮试相关药品执行</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输液时会检查皮试结果，没有皮试结果会提示录入皮试结果，皮试结果为阳性时会有声音警示。</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执行结果回写</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可将皮试医嘱执行结果回写至</w:t>
                  </w:r>
                  <w:r>
                    <w:rPr>
                      <w:rFonts w:ascii="仿宋_GB2312" w:hAnsi="仿宋_GB2312" w:cs="仿宋_GB2312" w:eastAsia="仿宋_GB2312"/>
                      <w:sz w:val="21"/>
                    </w:rPr>
                    <w:t>HIS或电子病历系统中。</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口服医嘱</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医嘱执行之口服药</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具有扫描口服药签上的条码及患者腕带，当两者匹配后继续发药（同时记录用药时间和用药人）；如不匹配进行提醒，支持患者签字确认功能。</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高危药品核对</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高危药品需要双人核对，使用扫描口服药签上的条码及患者腕带，当两者匹配后继续用药（同时记录用药时间和用药人及核对人）；如不匹配进行提醒或报警。</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医嘱补执行</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对未能通过</w:t>
                  </w:r>
                  <w:r>
                    <w:rPr>
                      <w:rFonts w:ascii="仿宋_GB2312" w:hAnsi="仿宋_GB2312" w:cs="仿宋_GB2312" w:eastAsia="仿宋_GB2312"/>
                      <w:sz w:val="21"/>
                    </w:rPr>
                    <w:t>PDA执行的，可在PC端进行补录。并记录原因。</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检验医嘱</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标本采集</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▲具有扫描检验条码、患者腕带条码，当两者匹配后采集，记录采集人、采集时间；如不匹配进行提醒。</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标本接收</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具有患者自行采集的标本，如痰、尿等标本，由</w:t>
                  </w:r>
                  <w:r>
                    <w:rPr>
                      <w:rFonts w:ascii="仿宋_GB2312" w:hAnsi="仿宋_GB2312" w:cs="仿宋_GB2312" w:eastAsia="仿宋_GB2312"/>
                      <w:sz w:val="21"/>
                    </w:rPr>
                    <w:t>PDA扫描标本签及患者腕带条码，患者提交标本后PDA扫描标本签收管，完成标本采集功能。</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危急值提醒</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检验结果有危机值时，检验结果界面有明显提示。</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危急值确认</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医生、护士对危急值进行双人核对、确认。</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采集信息回写</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将标本采集信息回写到</w:t>
                  </w:r>
                  <w:r>
                    <w:rPr>
                      <w:rFonts w:ascii="仿宋_GB2312" w:hAnsi="仿宋_GB2312" w:cs="仿宋_GB2312" w:eastAsia="仿宋_GB2312"/>
                      <w:sz w:val="21"/>
                    </w:rPr>
                    <w:t>LIS系统中。</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CDSS提醒</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标本采集</w:t>
                  </w:r>
                  <w:r>
                    <w:rPr>
                      <w:rFonts w:ascii="仿宋_GB2312" w:hAnsi="仿宋_GB2312" w:cs="仿宋_GB2312" w:eastAsia="仿宋_GB2312"/>
                      <w:sz w:val="21"/>
                    </w:rPr>
                    <w:t>支持</w:t>
                  </w:r>
                  <w:r>
                    <w:rPr>
                      <w:rFonts w:ascii="仿宋_GB2312" w:hAnsi="仿宋_GB2312" w:cs="仿宋_GB2312" w:eastAsia="仿宋_GB2312"/>
                      <w:sz w:val="21"/>
                    </w:rPr>
                    <w:t>对接临床决策系统</w:t>
                  </w:r>
                  <w:r>
                    <w:rPr>
                      <w:rFonts w:ascii="仿宋_GB2312" w:hAnsi="仿宋_GB2312" w:cs="仿宋_GB2312" w:eastAsia="仿宋_GB2312"/>
                      <w:sz w:val="21"/>
                    </w:rPr>
                    <w:t>CDSS提醒。</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输血医嘱</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血袋接收</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使用扫描血袋标签将血袋接收入病区。</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输血前核对</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记录输血前核对人、核对时间。</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输血执行核对</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▲在血液类医嘱执行前首先扫描输血药袋上的条码，再扫描患者腕带条码，当两者匹配后继续输血（同时记录输血时间和输血人）；如不匹配进行提醒。</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输血巡视</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当患者进行输血时，自动定时提醒对患者进行巡视。</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输血执行结果回写</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将输血医嘱执行结果回写至</w:t>
                  </w:r>
                  <w:r>
                    <w:rPr>
                      <w:rFonts w:ascii="仿宋_GB2312" w:hAnsi="仿宋_GB2312" w:cs="仿宋_GB2312" w:eastAsia="仿宋_GB2312"/>
                      <w:sz w:val="21"/>
                    </w:rPr>
                    <w:t>HIS或电子病历系统中。</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治疗医嘱</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医嘱执行</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对于不能打印标签的治疗类医嘱，使用</w:t>
                  </w:r>
                  <w:r>
                    <w:rPr>
                      <w:rFonts w:ascii="仿宋_GB2312" w:hAnsi="仿宋_GB2312" w:cs="仿宋_GB2312" w:eastAsia="仿宋_GB2312"/>
                      <w:sz w:val="21"/>
                    </w:rPr>
                    <w:t>PDA扫描患者腕带，核对患者身份后，可以勾选执行，记录执行时间和执行人。</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护理医嘱</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医嘱执行</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对不能打印成二维码的护理项目，使用</w:t>
                  </w:r>
                  <w:r>
                    <w:rPr>
                      <w:rFonts w:ascii="仿宋_GB2312" w:hAnsi="仿宋_GB2312" w:cs="仿宋_GB2312" w:eastAsia="仿宋_GB2312"/>
                      <w:sz w:val="21"/>
                    </w:rPr>
                    <w:t>PDA扫描患者腕带，核对患者身份后，可以勾选执行，同时记录执行时间和执行人。</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记录与执行关联</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测血压、血糖，执行医嘱可跳转到记录单，提交文书后，相应的医嘱也执行。</w:t>
                  </w:r>
                  <w:r>
                    <w:rPr>
                      <w:rFonts w:ascii="仿宋_GB2312" w:hAnsi="仿宋_GB2312" w:cs="仿宋_GB2312" w:eastAsia="仿宋_GB2312"/>
                      <w:sz w:val="21"/>
                    </w:rPr>
                    <w:t xml:space="preserve">                                                  </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备注执行</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备注执行</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对于暂时不能执行的所有类型、类别医嘱，护士可以填写备注，标明原因。</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出院带药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出院带药</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具有扫描患者腕带查询当前患者出院药品列表，扫描患者腕带条码完成出院带药医嘱执行功能。</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专科护理</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压疮护理</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压疮护理全流程闭环管理，用</w:t>
                  </w:r>
                  <w:r>
                    <w:rPr>
                      <w:rFonts w:ascii="仿宋_GB2312" w:hAnsi="仿宋_GB2312" w:cs="仿宋_GB2312" w:eastAsia="仿宋_GB2312"/>
                      <w:sz w:val="21"/>
                    </w:rPr>
                    <w:t>PDA在患者床前进行压疮风险评估，在PDA终端上进行压疮上报、包括部位、程度、分级，支持拍摄上传照片，对已发生压疮的患者进行跟踪治疗记录，必要时，支持院内会诊，护士长、压疮护理小组对发生压疮患者进行定期的访视和督查，对护理措施进行评价，给出建议。最后对压疮患者的去向和压疮的治疗效果进行转归记录。</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护理文书</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护理文书种类</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▲具有自定义配置医院护理记录单，包括但不限于体温单、体征记录单、一般护理记录单、危重护理记录单、手术护理记录单、血糖、血压记录单、入院评估单、各种风险评估单、疼痛护理记录单等。</w:t>
                  </w:r>
                </w:p>
              </w:tc>
            </w:tr>
            <w:tr>
              <w:tc>
                <w:tcPr>
                  <w:tcW w:type="dxa" w:w="453"/>
                  <w:vMerge/>
                  <w:tcBorders>
                    <w:top w:val="none" w:color="000000" w:sz="4"/>
                    <w:left w:val="single" w:color="000000" w:sz="4"/>
                    <w:bottom w:val="single" w:color="000000" w:sz="4"/>
                    <w:right w:val="single" w:color="000000" w:sz="4"/>
                  </w:tcBorders>
                </w:tcPr>
                <w:p/>
              </w:tc>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护理文书录入</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移动终端</w:t>
                  </w:r>
                  <w:r>
                    <w:rPr>
                      <w:rFonts w:ascii="仿宋_GB2312" w:hAnsi="仿宋_GB2312" w:cs="仿宋_GB2312" w:eastAsia="仿宋_GB2312"/>
                      <w:sz w:val="21"/>
                    </w:rPr>
                    <w:t>PDA和电脑PC都可以录入护理文书，系统会记录录入时间，录入人，并</w:t>
                  </w:r>
                  <w:r>
                    <w:rPr>
                      <w:rFonts w:ascii="仿宋_GB2312" w:hAnsi="仿宋_GB2312" w:cs="仿宋_GB2312" w:eastAsia="仿宋_GB2312"/>
                      <w:sz w:val="21"/>
                    </w:rPr>
                    <w:t>具有</w:t>
                  </w:r>
                  <w:r>
                    <w:rPr>
                      <w:rFonts w:ascii="仿宋_GB2312" w:hAnsi="仿宋_GB2312" w:cs="仿宋_GB2312" w:eastAsia="仿宋_GB2312"/>
                      <w:sz w:val="21"/>
                    </w:rPr>
                    <w:t>查看，修改（需具有权限）。</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软件可设置护理文书录入的时间范围规则，如不能早于入院时间、不能晚于出院时间、不能早于系统时间</w:t>
                  </w:r>
                  <w:r>
                    <w:rPr>
                      <w:rFonts w:ascii="仿宋_GB2312" w:hAnsi="仿宋_GB2312" w:cs="仿宋_GB2312" w:eastAsia="仿宋_GB2312"/>
                      <w:sz w:val="21"/>
                    </w:rPr>
                    <w:t>+N小时等等。</w:t>
                  </w:r>
                </w:p>
              </w:tc>
            </w:tr>
            <w:tr>
              <w:tc>
                <w:tcPr>
                  <w:tcW w:type="dxa" w:w="453"/>
                  <w:vMerge/>
                  <w:tcBorders>
                    <w:top w:val="none" w:color="000000" w:sz="4"/>
                    <w:left w:val="single" w:color="000000" w:sz="4"/>
                    <w:bottom w:val="single" w:color="000000" w:sz="4"/>
                    <w:right w:val="single" w:color="000000" w:sz="4"/>
                  </w:tcBorders>
                </w:tcPr>
                <w:p/>
              </w:tc>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体征管理及体温单</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▲具有PDA进行病人体征录入，可以记录病人的体重、体温、脉搏、呼吸、血压、出入量等各项固定以及科室自定义项目。</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PDA进行体征信息新增、查看等操作。</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智能提醒纠错，对每个体征项目设定有输入范围，如录入的值超出范围，</w:t>
                  </w:r>
                  <w:r>
                    <w:rPr>
                      <w:rFonts w:ascii="仿宋_GB2312" w:hAnsi="仿宋_GB2312" w:cs="仿宋_GB2312" w:eastAsia="仿宋_GB2312"/>
                      <w:sz w:val="21"/>
                    </w:rPr>
                    <w:t>PDA自动提醒录入错误并要求重新录入。对灌肠大便、呼吸机、体温未测等特殊情况都提供选项供勾选。</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PDA</w:t>
                  </w:r>
                  <w:r>
                    <w:rPr>
                      <w:rFonts w:ascii="仿宋_GB2312" w:hAnsi="仿宋_GB2312" w:cs="仿宋_GB2312" w:eastAsia="仿宋_GB2312"/>
                      <w:sz w:val="21"/>
                    </w:rPr>
                    <w:t>具有</w:t>
                  </w:r>
                  <w:r>
                    <w:rPr>
                      <w:rFonts w:ascii="仿宋_GB2312" w:hAnsi="仿宋_GB2312" w:cs="仿宋_GB2312" w:eastAsia="仿宋_GB2312"/>
                      <w:sz w:val="21"/>
                    </w:rPr>
                    <w:t>历史体征查看，对科室自定义的项目，会根据患者的录入情况，智能显示。</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PDA和PC上自动生成标准体温单，便查看患者体温变化情况。</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智能体征测量提醒，根据医院的规则和患者的护理等级、入院时间、危重状态、发烧以及手术情况，</w:t>
                  </w:r>
                  <w:r>
                    <w:rPr>
                      <w:rFonts w:ascii="仿宋_GB2312" w:hAnsi="仿宋_GB2312" w:cs="仿宋_GB2312" w:eastAsia="仿宋_GB2312"/>
                      <w:sz w:val="21"/>
                    </w:rPr>
                    <w:t>对</w:t>
                  </w:r>
                  <w:r>
                    <w:rPr>
                      <w:rFonts w:ascii="仿宋_GB2312" w:hAnsi="仿宋_GB2312" w:cs="仿宋_GB2312" w:eastAsia="仿宋_GB2312"/>
                      <w:sz w:val="21"/>
                    </w:rPr>
                    <w:t>患者需要测量体征的时间进行提醒。当患者的状态发生变化时，自动进行调整。</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患者转交接</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具有支持病区之间、病区与手术室患者转交接。由转出、转入科室分别填写患者交接记录单，包括生命体征、管路状态、正在使用的药物、交接的病案资料和物品等，双方确认功能。</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w:t>
                  </w:r>
                  <w:r>
                    <w:rPr>
                      <w:rFonts w:ascii="仿宋_GB2312" w:hAnsi="仿宋_GB2312" w:cs="仿宋_GB2312" w:eastAsia="仿宋_GB2312"/>
                      <w:sz w:val="21"/>
                    </w:rPr>
                    <w:t>病历查询</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具有查看各类病程记录，包含：入院记录、首日病程、日常病程及三级医师查房记录。</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CA签名</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▲具有移动端护理表单的CA签字操作。</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护理巡视</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高危患者巡视</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对特级、一级护理、病危、病重的患者，系统会根据医院的规则定时提醒对患者进行巡视功能。</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高风险患者巡视</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具有对各种高风险患者，定时提醒巡视。</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巡视方案</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具有预录入成套方案，可根据实际情况选择，也可以手工录入。</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巡视记录</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▲可以在PDA和PC上查看详细巡视记录，巡视时间、巡视人、滴数、巡视情况等信息。</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泵液巡视</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泵液巡视</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直接扫描输液医嘱码或者微泵医嘱码，根据不同的医嘱展示不同的巡视项目并且默认展示上一次巡视记录，当对应医嘱不属于执行中的状态时，不允许巡视；</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查询巡视历史记录，通过扫描医嘱码可以查看单条医嘱的所有巡视记录，通过扫描患者腕带条码则可以查看该患者下的所有存在巡视记录的相关医嘱并且</w:t>
                  </w:r>
                  <w:r>
                    <w:rPr>
                      <w:rFonts w:ascii="仿宋_GB2312" w:hAnsi="仿宋_GB2312" w:cs="仿宋_GB2312" w:eastAsia="仿宋_GB2312"/>
                      <w:sz w:val="21"/>
                    </w:rPr>
                    <w:t>具有</w:t>
                  </w:r>
                  <w:r>
                    <w:rPr>
                      <w:rFonts w:ascii="仿宋_GB2312" w:hAnsi="仿宋_GB2312" w:cs="仿宋_GB2312" w:eastAsia="仿宋_GB2312"/>
                      <w:sz w:val="21"/>
                    </w:rPr>
                    <w:t>扫医嘱码或者点击跳转对应的巡视记录。</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出巡记录</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出巡记录</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通过扫描患者腕带条码或者手动选择患者的方式，查询该患者的相关检查医嘱和治疗医嘱列表，</w:t>
                  </w:r>
                  <w:r>
                    <w:rPr>
                      <w:rFonts w:ascii="仿宋_GB2312" w:hAnsi="仿宋_GB2312" w:cs="仿宋_GB2312" w:eastAsia="仿宋_GB2312"/>
                      <w:sz w:val="21"/>
                    </w:rPr>
                    <w:t>具有</w:t>
                  </w:r>
                  <w:r>
                    <w:rPr>
                      <w:rFonts w:ascii="仿宋_GB2312" w:hAnsi="仿宋_GB2312" w:cs="仿宋_GB2312" w:eastAsia="仿宋_GB2312"/>
                      <w:sz w:val="21"/>
                    </w:rPr>
                    <w:t>预约时间、出病区回病区状态和医嘱类型筛选。</w:t>
                  </w:r>
                </w:p>
                <w:p>
                  <w:pPr>
                    <w:pStyle w:val="null3"/>
                    <w:jc w:val="both"/>
                  </w:pPr>
                  <w:r>
                    <w:rPr>
                      <w:rFonts w:ascii="仿宋_GB2312" w:hAnsi="仿宋_GB2312" w:cs="仿宋_GB2312" w:eastAsia="仿宋_GB2312"/>
                      <w:sz w:val="21"/>
                    </w:rPr>
                    <w:t>当该患者存在已出病区还未回病区的记录时，优先展示回病区的记录；</w:t>
                  </w:r>
                </w:p>
                <w:p>
                  <w:pPr>
                    <w:pStyle w:val="null3"/>
                    <w:jc w:val="both"/>
                  </w:pPr>
                  <w:r>
                    <w:rPr>
                      <w:rFonts w:ascii="仿宋_GB2312" w:hAnsi="仿宋_GB2312" w:cs="仿宋_GB2312" w:eastAsia="仿宋_GB2312"/>
                      <w:sz w:val="21"/>
                    </w:rPr>
                    <w:t>通过勾选相关检查医嘱和治疗医嘱点击出病区和回病区按钮记录相关信息。</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手术信息管理</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手术信息查看</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可以查看手术的详细信息，包括手术名称、等级、时间、麻醉方式、术者、助手、体位等。</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手术患者交接</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患者去手术室和回病房时，需要手术室护士和病房护士进行患者交接，护士扫描患者腕带，记录出入时间。</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手术清点</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手术室护士对于某个患者某个手术进行器械的绑定和清点，通过扫描器械包对器械信息进行初步核对，核对无误之后进行绑定操作，如果器械包还未清点，则可以进行解绑操作，清点过程</w:t>
                  </w:r>
                  <w:r>
                    <w:rPr>
                      <w:rFonts w:ascii="仿宋_GB2312" w:hAnsi="仿宋_GB2312" w:cs="仿宋_GB2312" w:eastAsia="仿宋_GB2312"/>
                      <w:sz w:val="21"/>
                    </w:rPr>
                    <w:t>具有</w:t>
                  </w:r>
                  <w:r>
                    <w:rPr>
                      <w:rFonts w:ascii="仿宋_GB2312" w:hAnsi="仿宋_GB2312" w:cs="仿宋_GB2312" w:eastAsia="仿宋_GB2312"/>
                      <w:sz w:val="21"/>
                    </w:rPr>
                    <w:t>提醒。</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护理计划</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计划记录</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为不同病人建立不同的护理计划，并记录追踪执行的措施、结果等。</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病区管理</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巡视记录查询</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病区巡视情况查询，可以选择时间段、巡视类型等对病区所有患者的巡视情况进行查询。</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科室</w:t>
                  </w:r>
                  <w:r>
                    <w:rPr>
                      <w:rFonts w:ascii="仿宋_GB2312" w:hAnsi="仿宋_GB2312" w:cs="仿宋_GB2312" w:eastAsia="仿宋_GB2312"/>
                      <w:sz w:val="21"/>
                    </w:rPr>
                    <w:t>/病区工作量统计</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科室</w:t>
                  </w:r>
                  <w:r>
                    <w:rPr>
                      <w:rFonts w:ascii="仿宋_GB2312" w:hAnsi="仿宋_GB2312" w:cs="仿宋_GB2312" w:eastAsia="仿宋_GB2312"/>
                      <w:sz w:val="21"/>
                    </w:rPr>
                    <w:t>/病区工作量统计，以科室/病区为单位，分析整个科室/病区工作量。</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个人工作量统计</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护理人员个人工作量统计</w:t>
                  </w:r>
                  <w:r>
                    <w:rPr>
                      <w:rFonts w:ascii="仿宋_GB2312" w:hAnsi="仿宋_GB2312" w:cs="仿宋_GB2312" w:eastAsia="仿宋_GB2312"/>
                      <w:sz w:val="21"/>
                    </w:rPr>
                    <w:t>。</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高警示药品管理</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可以维护高警示药品库，包括名称、剂量、浓度等。</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智能提醒</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体征采集提醒</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根据病区的体征采集规则，提醒护士对患者进行体征采集，内容包括体温、脉搏、呼吸、血压、疼痛等。</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医嘱提醒</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医嘱自动提醒，包括新开立医嘱的提醒，提示护士当前需要完成的工作以及未完成工作内容。</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高危患者提醒</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提醒病区内各类高危患者。</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病区自定义提醒</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个性化设置本病区需要特殊设置的提醒。</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异常提醒</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信息核对异常时通过特殊警报音智能提示。</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皮试提醒</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对皮试时间进行提醒，对没有经过皮试使用过敏药物的提醒。</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高危药品提醒</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对患者使用过敏药物时，系统会在配药、输液时提醒用药剂量、浓度、滴数等。</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巡视提醒</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对危重病人、高风险患者、输液患者、输血患者、使用高危药品患者定时的巡视提醒，及时掌握患者情况，出现问题能够及时处理。</w:t>
                  </w:r>
                </w:p>
              </w:tc>
            </w:tr>
            <w:tr>
              <w:tc>
                <w:tcPr>
                  <w:tcW w:type="dxa" w:w="453"/>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w:t>
                  </w:r>
                  <w:r>
                    <w:rPr>
                      <w:rFonts w:ascii="仿宋_GB2312" w:hAnsi="仿宋_GB2312" w:cs="仿宋_GB2312" w:eastAsia="仿宋_GB2312"/>
                      <w:sz w:val="21"/>
                    </w:rPr>
                    <w:t>术</w:t>
                  </w:r>
                  <w:r>
                    <w:rPr>
                      <w:rFonts w:ascii="仿宋_GB2312" w:hAnsi="仿宋_GB2312" w:cs="仿宋_GB2312" w:eastAsia="仿宋_GB2312"/>
                      <w:sz w:val="21"/>
                    </w:rPr>
                    <w:t>天数</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对手术患者，显示手术的天数。</w:t>
                  </w:r>
                  <w:r>
                    <w:rPr>
                      <w:rFonts w:ascii="仿宋_GB2312" w:hAnsi="仿宋_GB2312" w:cs="仿宋_GB2312" w:eastAsia="仿宋_GB2312"/>
                      <w:sz w:val="21"/>
                    </w:rPr>
                    <w:t>具有</w:t>
                  </w:r>
                  <w:r>
                    <w:rPr>
                      <w:rFonts w:ascii="仿宋_GB2312" w:hAnsi="仿宋_GB2312" w:cs="仿宋_GB2312" w:eastAsia="仿宋_GB2312"/>
                      <w:sz w:val="21"/>
                    </w:rPr>
                    <w:t>多次手术天数的合并显示。</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质控管理</w:t>
                  </w:r>
                </w:p>
              </w:tc>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病历质控</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时效质控规则设置。</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不同病历按科室设置不同的时效质控规则。</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时序质控规则设置。</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不同病历按科室设置不同的时序质控规则。</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完整质控规则设置。</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不同病历按科室设置不同的完整质控规则。</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提供护理病历质控环节点质控功能。</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系统自带有质控规则知识库，</w:t>
                  </w:r>
                  <w:r>
                    <w:rPr>
                      <w:rFonts w:ascii="仿宋_GB2312" w:hAnsi="仿宋_GB2312" w:cs="仿宋_GB2312" w:eastAsia="仿宋_GB2312"/>
                      <w:sz w:val="21"/>
                    </w:rPr>
                    <w:t>具有</w:t>
                  </w:r>
                  <w:r>
                    <w:rPr>
                      <w:rFonts w:ascii="仿宋_GB2312" w:hAnsi="仿宋_GB2312" w:cs="仿宋_GB2312" w:eastAsia="仿宋_GB2312"/>
                      <w:sz w:val="21"/>
                    </w:rPr>
                    <w:t>医院修改质控规则。</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在院病人质控缺陷分析、质控缺陷趋势分析、质控缺陷科室对比排名、质控缺陷护士对比排名、病历质控类型统计等多维度质控统计分析功能。</w:t>
                  </w:r>
                </w:p>
              </w:tc>
            </w:tr>
            <w:tr>
              <w:tc>
                <w:tcPr>
                  <w:tcW w:type="dxa" w:w="453"/>
                  <w:vMerge/>
                  <w:tcBorders>
                    <w:top w:val="none" w:color="000000" w:sz="4"/>
                    <w:left w:val="single" w:color="000000" w:sz="4"/>
                    <w:bottom w:val="single" w:color="000000" w:sz="4"/>
                    <w:right w:val="single" w:color="000000" w:sz="4"/>
                  </w:tcBorders>
                </w:tcPr>
                <w:p/>
              </w:tc>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质控分析</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按时间、按周期、按频次自定义护理三级质控计划。</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具有病区自查、二级质控组抽查、三级质控组抽查、督导检查、院级抽查的问题提供分析整改的功能，包括原因分析、整改措施、效果评价，且支持基于</w:t>
                  </w:r>
                  <w:r>
                    <w:rPr>
                      <w:rFonts w:ascii="仿宋_GB2312" w:hAnsi="仿宋_GB2312" w:cs="仿宋_GB2312" w:eastAsia="仿宋_GB2312"/>
                      <w:sz w:val="21"/>
                    </w:rPr>
                    <w:t>PDCA的多次分析整改。</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可根据查检级别创建质控分析报告</w:t>
                  </w:r>
                  <w:r>
                    <w:rPr>
                      <w:rFonts w:ascii="仿宋_GB2312" w:hAnsi="仿宋_GB2312" w:cs="仿宋_GB2312" w:eastAsia="仿宋_GB2312"/>
                      <w:sz w:val="21"/>
                    </w:rPr>
                    <w:t>。</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知识库</w:t>
                  </w:r>
                </w:p>
              </w:tc>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w:t>
                  </w:r>
                  <w:r>
                    <w:rPr>
                      <w:rFonts w:ascii="仿宋_GB2312" w:hAnsi="仿宋_GB2312" w:cs="仿宋_GB2312" w:eastAsia="仿宋_GB2312"/>
                      <w:sz w:val="21"/>
                    </w:rPr>
                    <w:t>医院科室多个</w:t>
                  </w:r>
                  <w:r>
                    <w:rPr>
                      <w:rFonts w:ascii="仿宋_GB2312" w:hAnsi="仿宋_GB2312" w:cs="仿宋_GB2312" w:eastAsia="仿宋_GB2312"/>
                      <w:sz w:val="21"/>
                    </w:rPr>
                    <w:t>病种、证型、症状的护理措施。</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根据患者的入院评估、系统评估（专科）、病情记录、生命体征、风险评估、医嘱、检查、检验等多个维度推荐相对应的护理诊断。</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根据护理诊断推荐相应的护理措施，生成护理计划。</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护理</w:t>
                  </w:r>
                  <w:r>
                    <w:rPr>
                      <w:rFonts w:ascii="仿宋_GB2312" w:hAnsi="仿宋_GB2312" w:cs="仿宋_GB2312" w:eastAsia="仿宋_GB2312"/>
                      <w:sz w:val="21"/>
                    </w:rPr>
                    <w:t>排班管理</w:t>
                  </w:r>
                </w:p>
              </w:tc>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手动排班和一键排班，提供排班规则设置功能。</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护理部按大科分组查看每个科室的排班是否完成。</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护理人员通过手机端系统查看个人排班和病区排班。护士长在手机端进行调整病区人员班次</w:t>
                  </w:r>
                  <w:r>
                    <w:rPr>
                      <w:rFonts w:ascii="仿宋_GB2312" w:hAnsi="仿宋_GB2312" w:cs="仿宋_GB2312" w:eastAsia="仿宋_GB2312"/>
                      <w:sz w:val="21"/>
                    </w:rPr>
                    <w:t>。</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满意度调查</w:t>
                  </w:r>
                </w:p>
              </w:tc>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满意度调查模板的设置。</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患者满意度调查、同行评议、不同人群的满意度调查</w:t>
                  </w:r>
                  <w:r>
                    <w:rPr>
                      <w:rFonts w:ascii="仿宋_GB2312" w:hAnsi="仿宋_GB2312" w:cs="仿宋_GB2312" w:eastAsia="仿宋_GB2312"/>
                      <w:sz w:val="21"/>
                    </w:rPr>
                    <w:t>。</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按照不同科室、不同时间维度生成满意度分析报告。</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护理部将院级进行的满意度调查结果下发到病区进行分析整改。</w:t>
                  </w:r>
                </w:p>
              </w:tc>
            </w:tr>
            <w:tr>
              <w:tc>
                <w:tcPr>
                  <w:tcW w:type="dxa" w:w="453"/>
                  <w:vMerge/>
                  <w:tcBorders>
                    <w:top w:val="none" w:color="000000" w:sz="4"/>
                    <w:left w:val="single" w:color="000000" w:sz="4"/>
                    <w:bottom w:val="single" w:color="000000" w:sz="4"/>
                    <w:right w:val="single" w:color="000000" w:sz="4"/>
                  </w:tcBorders>
                </w:tcPr>
                <w:p/>
              </w:tc>
              <w:tc>
                <w:tcPr>
                  <w:tcW w:type="dxa" w:w="521"/>
                  <w:vMerge/>
                  <w:tcBorders>
                    <w:top w:val="none" w:color="000000" w:sz="4"/>
                    <w:left w:val="single" w:color="000000" w:sz="4"/>
                    <w:bottom w:val="single" w:color="000000" w:sz="4"/>
                    <w:right w:val="single" w:color="000000" w:sz="4"/>
                  </w:tcBorders>
                </w:tc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月度、季度、年度的满意度</w:t>
                  </w:r>
                  <w:r>
                    <w:rPr>
                      <w:rFonts w:ascii="仿宋_GB2312" w:hAnsi="仿宋_GB2312" w:cs="仿宋_GB2312" w:eastAsia="仿宋_GB2312"/>
                      <w:sz w:val="21"/>
                    </w:rPr>
                    <w:t>报表</w:t>
                  </w:r>
                  <w:r>
                    <w:rPr>
                      <w:rFonts w:ascii="仿宋_GB2312" w:hAnsi="仿宋_GB2312" w:cs="仿宋_GB2312" w:eastAsia="仿宋_GB2312"/>
                      <w:sz w:val="21"/>
                    </w:rPr>
                    <w:t>生成，至少包括满意度整体情况分析、调查数据来源占比分析、最满意护士分析、重点问题筛查等分析内容。</w:t>
                  </w:r>
                </w:p>
              </w:tc>
            </w:tr>
          </w:tbl>
          <w:p>
            <w:pPr>
              <w:pStyle w:val="null3"/>
              <w:ind w:firstLine="482"/>
              <w:jc w:val="both"/>
            </w:pPr>
            <w:r>
              <w:rPr>
                <w:rFonts w:ascii="仿宋_GB2312" w:hAnsi="仿宋_GB2312" w:cs="仿宋_GB2312" w:eastAsia="仿宋_GB2312"/>
                <w:sz w:val="24"/>
                <w:b/>
              </w:rPr>
              <w:t>三、其他网络设备</w:t>
            </w:r>
          </w:p>
          <w:tbl>
            <w:tblPr>
              <w:tblBorders>
                <w:top w:val="none" w:color="000000" w:sz="4"/>
                <w:left w:val="none" w:color="000000" w:sz="4"/>
                <w:bottom w:val="none" w:color="000000" w:sz="4"/>
                <w:right w:val="none" w:color="000000" w:sz="4"/>
                <w:insideH w:val="none"/>
                <w:insideV w:val="none"/>
              </w:tblBorders>
            </w:tblPr>
            <w:tblGrid>
              <w:gridCol w:w="247"/>
              <w:gridCol w:w="1905"/>
              <w:gridCol w:w="193"/>
              <w:gridCol w:w="197"/>
            </w:tblGrid>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1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要求</w:t>
                  </w:r>
                </w:p>
              </w:tc>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w:t>
                  </w:r>
                  <w:r>
                    <w:rPr>
                      <w:rFonts w:ascii="仿宋_GB2312" w:hAnsi="仿宋_GB2312" w:cs="仿宋_GB2312" w:eastAsia="仿宋_GB2312"/>
                      <w:sz w:val="21"/>
                    </w:rPr>
                    <w:t>AC</w:t>
                  </w:r>
                </w:p>
                <w:p>
                  <w:pPr>
                    <w:pStyle w:val="null3"/>
                  </w:pPr>
                </w:p>
              </w:tc>
              <w:tc>
                <w:tcPr>
                  <w:tcW w:type="dxa" w:w="1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▲1、单台最大管理AP数量≥2</w:t>
                  </w:r>
                  <w:r>
                    <w:rPr>
                      <w:rFonts w:ascii="仿宋_GB2312" w:hAnsi="仿宋_GB2312" w:cs="仿宋_GB2312" w:eastAsia="仿宋_GB2312"/>
                      <w:sz w:val="21"/>
                    </w:rPr>
                    <w:t>，单台最大接入用户数量</w:t>
                  </w:r>
                  <w:r>
                    <w:rPr>
                      <w:rFonts w:ascii="仿宋_GB2312" w:hAnsi="仿宋_GB2312" w:cs="仿宋_GB2312" w:eastAsia="仿宋_GB2312"/>
                      <w:sz w:val="21"/>
                    </w:rPr>
                    <w:t>≥35000；本次单台配置IP管理授权≥1</w:t>
                  </w:r>
                  <w:r>
                    <w:rPr>
                      <w:rFonts w:ascii="仿宋_GB2312" w:hAnsi="仿宋_GB2312" w:cs="仿宋_GB2312" w:eastAsia="仿宋_GB2312"/>
                      <w:sz w:val="21"/>
                    </w:rPr>
                    <w:t>5</w:t>
                  </w:r>
                  <w:r>
                    <w:rPr>
                      <w:rFonts w:ascii="仿宋_GB2312" w:hAnsi="仿宋_GB2312" w:cs="仿宋_GB2312" w:eastAsia="仿宋_GB2312"/>
                      <w:sz w:val="21"/>
                    </w:rPr>
                    <w:t>00个。</w:t>
                  </w:r>
                </w:p>
                <w:p>
                  <w:pPr>
                    <w:pStyle w:val="null3"/>
                  </w:pPr>
                  <w:r>
                    <w:rPr>
                      <w:rFonts w:ascii="仿宋_GB2312" w:hAnsi="仿宋_GB2312" w:cs="仿宋_GB2312" w:eastAsia="仿宋_GB2312"/>
                      <w:sz w:val="21"/>
                    </w:rPr>
                    <w:t>2、</w:t>
                  </w:r>
                  <w:r>
                    <w:rPr>
                      <w:rFonts w:ascii="仿宋_GB2312" w:hAnsi="仿宋_GB2312" w:cs="仿宋_GB2312" w:eastAsia="仿宋_GB2312"/>
                      <w:sz w:val="21"/>
                    </w:rPr>
                    <w:t>无线</w:t>
                  </w:r>
                  <w:r>
                    <w:rPr>
                      <w:rFonts w:ascii="仿宋_GB2312" w:hAnsi="仿宋_GB2312" w:cs="仿宋_GB2312" w:eastAsia="仿宋_GB2312"/>
                      <w:sz w:val="21"/>
                    </w:rPr>
                    <w:t>AC转发能力≥100Gbps</w:t>
                  </w:r>
                  <w:r>
                    <w:rPr>
                      <w:rFonts w:ascii="仿宋_GB2312" w:hAnsi="仿宋_GB2312" w:cs="仿宋_GB2312" w:eastAsia="仿宋_GB2312"/>
                      <w:sz w:val="21"/>
                    </w:rPr>
                    <w:t>。</w:t>
                  </w:r>
                  <w:r>
                    <w:rPr>
                      <w:rFonts w:ascii="仿宋_GB2312" w:hAnsi="仿宋_GB2312" w:cs="仿宋_GB2312" w:eastAsia="仿宋_GB2312"/>
                      <w:sz w:val="21"/>
                    </w:rPr>
                    <w:t>（投标时提供第三方检测机构出具的检测报告扫描件，加盖投标人公章）</w:t>
                  </w:r>
                </w:p>
                <w:p>
                  <w:pPr>
                    <w:pStyle w:val="null3"/>
                  </w:pPr>
                  <w:r>
                    <w:rPr>
                      <w:rFonts w:ascii="仿宋_GB2312" w:hAnsi="仿宋_GB2312" w:cs="仿宋_GB2312" w:eastAsia="仿宋_GB2312"/>
                      <w:sz w:val="21"/>
                    </w:rPr>
                    <w:t>3、</w:t>
                  </w:r>
                  <w:r>
                    <w:rPr>
                      <w:rFonts w:ascii="仿宋_GB2312" w:hAnsi="仿宋_GB2312" w:cs="仿宋_GB2312" w:eastAsia="仿宋_GB2312"/>
                      <w:sz w:val="21"/>
                    </w:rPr>
                    <w:t>40G光口≥2个，万兆SFP+≥4个</w:t>
                  </w:r>
                  <w:r>
                    <w:rPr>
                      <w:rFonts w:ascii="仿宋_GB2312" w:hAnsi="仿宋_GB2312" w:cs="仿宋_GB2312" w:eastAsia="仿宋_GB2312"/>
                      <w:sz w:val="21"/>
                    </w:rPr>
                    <w:t>，</w:t>
                  </w:r>
                  <w:r>
                    <w:rPr>
                      <w:rFonts w:ascii="仿宋_GB2312" w:hAnsi="仿宋_GB2312" w:cs="仿宋_GB2312" w:eastAsia="仿宋_GB2312"/>
                      <w:sz w:val="21"/>
                    </w:rPr>
                    <w:t>千兆</w:t>
                  </w:r>
                  <w:r>
                    <w:rPr>
                      <w:rFonts w:ascii="仿宋_GB2312" w:hAnsi="仿宋_GB2312" w:cs="仿宋_GB2312" w:eastAsia="仿宋_GB2312"/>
                      <w:sz w:val="21"/>
                    </w:rPr>
                    <w:t>GE≥10个</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、配置</w:t>
                  </w:r>
                  <w:r>
                    <w:rPr>
                      <w:rFonts w:ascii="仿宋_GB2312" w:hAnsi="仿宋_GB2312" w:cs="仿宋_GB2312" w:eastAsia="仿宋_GB2312"/>
                      <w:sz w:val="21"/>
                    </w:rPr>
                    <w:t>冗余</w:t>
                  </w:r>
                  <w:r>
                    <w:rPr>
                      <w:rFonts w:ascii="仿宋_GB2312" w:hAnsi="仿宋_GB2312" w:cs="仿宋_GB2312" w:eastAsia="仿宋_GB2312"/>
                      <w:sz w:val="21"/>
                    </w:rPr>
                    <w:t>电源，</w:t>
                  </w:r>
                  <w:r>
                    <w:rPr>
                      <w:rFonts w:ascii="仿宋_GB2312" w:hAnsi="仿宋_GB2312" w:cs="仿宋_GB2312" w:eastAsia="仿宋_GB2312"/>
                      <w:sz w:val="21"/>
                    </w:rPr>
                    <w:t>具有</w:t>
                  </w:r>
                  <w:r>
                    <w:rPr>
                      <w:rFonts w:ascii="仿宋_GB2312" w:hAnsi="仿宋_GB2312" w:cs="仿宋_GB2312" w:eastAsia="仿宋_GB2312"/>
                      <w:sz w:val="21"/>
                    </w:rPr>
                    <w:t>电源模块热插拔。</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802.1X接入认证实现对接入用户的身份认证，支持IPv4流量应用识别、IPv6流量应用识别。</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、支持基于源</w:t>
                  </w:r>
                  <w:r>
                    <w:rPr>
                      <w:rFonts w:ascii="仿宋_GB2312" w:hAnsi="仿宋_GB2312" w:cs="仿宋_GB2312" w:eastAsia="仿宋_GB2312"/>
                      <w:sz w:val="21"/>
                    </w:rPr>
                    <w:t>MAC、目的MAC、源MAC+目的MAC、源IP、目的IP、源IP+目的IP负载分担方式。</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802.11k/802.11v协议的智能漫游</w:t>
                  </w:r>
                  <w:r>
                    <w:rPr>
                      <w:rFonts w:ascii="仿宋_GB2312" w:hAnsi="仿宋_GB2312" w:cs="仿宋_GB2312" w:eastAsia="仿宋_GB2312"/>
                      <w:sz w:val="21"/>
                    </w:rPr>
                    <w:t>。</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汇聚交换机</w:t>
                  </w:r>
                </w:p>
              </w:tc>
              <w:tc>
                <w:tcPr>
                  <w:tcW w:type="dxa" w:w="1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1、交换容量≥4.0Tbps，包转发率≥1400Mpps</w:t>
                  </w:r>
                  <w:r>
                    <w:rPr>
                      <w:rFonts w:ascii="仿宋_GB2312" w:hAnsi="仿宋_GB2312" w:cs="仿宋_GB2312" w:eastAsia="仿宋_GB2312"/>
                      <w:sz w:val="21"/>
                    </w:rPr>
                    <w:t>。</w:t>
                  </w:r>
                </w:p>
                <w:p>
                  <w:pPr>
                    <w:pStyle w:val="null3"/>
                  </w:pPr>
                  <w:r>
                    <w:rPr>
                      <w:rFonts w:ascii="仿宋_GB2312" w:hAnsi="仿宋_GB2312" w:cs="仿宋_GB2312" w:eastAsia="仿宋_GB2312"/>
                      <w:sz w:val="21"/>
                    </w:rPr>
                    <w:t>2、万兆光口≥48个，40GE光口≥6个</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双电源，</w:t>
                  </w:r>
                  <w:r>
                    <w:rPr>
                      <w:rFonts w:ascii="仿宋_GB2312" w:hAnsi="仿宋_GB2312" w:cs="仿宋_GB2312" w:eastAsia="仿宋_GB2312"/>
                      <w:sz w:val="21"/>
                    </w:rPr>
                    <w:t>≥</w:t>
                  </w:r>
                  <w:r>
                    <w:rPr>
                      <w:rFonts w:ascii="仿宋_GB2312" w:hAnsi="仿宋_GB2312" w:cs="仿宋_GB2312" w:eastAsia="仿宋_GB2312"/>
                      <w:sz w:val="21"/>
                    </w:rPr>
                    <w:t>双风扇</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具有</w:t>
                  </w:r>
                  <w:r>
                    <w:rPr>
                      <w:rFonts w:ascii="仿宋_GB2312" w:hAnsi="仿宋_GB2312" w:cs="仿宋_GB2312" w:eastAsia="仿宋_GB2312"/>
                      <w:sz w:val="21"/>
                    </w:rPr>
                    <w:t xml:space="preserve"> </w:t>
                  </w:r>
                  <w:r>
                    <w:rPr>
                      <w:rFonts w:ascii="仿宋_GB2312" w:hAnsi="仿宋_GB2312" w:cs="仿宋_GB2312" w:eastAsia="仿宋_GB2312"/>
                      <w:sz w:val="21"/>
                    </w:rPr>
                    <w:t>RIP、OSPF、ISIS、BGP 等 IPv4 动态路由协议</w:t>
                  </w:r>
                  <w:r>
                    <w:rPr>
                      <w:rFonts w:ascii="仿宋_GB2312" w:hAnsi="仿宋_GB2312" w:cs="仿宋_GB2312" w:eastAsia="仿宋_GB2312"/>
                      <w:sz w:val="21"/>
                    </w:rPr>
                    <w:t>。</w:t>
                  </w:r>
                </w:p>
                <w:p>
                  <w:pPr>
                    <w:pStyle w:val="null3"/>
                  </w:pPr>
                  <w:r>
                    <w:rPr>
                      <w:rFonts w:ascii="仿宋_GB2312" w:hAnsi="仿宋_GB2312" w:cs="仿宋_GB2312" w:eastAsia="仿宋_GB2312"/>
                      <w:sz w:val="21"/>
                    </w:rPr>
                    <w:t>5、</w:t>
                  </w:r>
                  <w:r>
                    <w:rPr>
                      <w:rFonts w:ascii="仿宋_GB2312" w:hAnsi="仿宋_GB2312" w:cs="仿宋_GB2312" w:eastAsia="仿宋_GB2312"/>
                      <w:sz w:val="21"/>
                    </w:rPr>
                    <w:t>具有</w:t>
                  </w:r>
                  <w:r>
                    <w:rPr>
                      <w:rFonts w:ascii="仿宋_GB2312" w:hAnsi="仿宋_GB2312" w:cs="仿宋_GB2312" w:eastAsia="仿宋_GB2312"/>
                      <w:sz w:val="21"/>
                    </w:rPr>
                    <w:t xml:space="preserve"> </w:t>
                  </w:r>
                  <w:r>
                    <w:rPr>
                      <w:rFonts w:ascii="仿宋_GB2312" w:hAnsi="仿宋_GB2312" w:cs="仿宋_GB2312" w:eastAsia="仿宋_GB2312"/>
                      <w:sz w:val="21"/>
                    </w:rPr>
                    <w:t>VXLAN 分布式网关，集中式网关</w:t>
                  </w:r>
                  <w:r>
                    <w:rPr>
                      <w:rFonts w:ascii="仿宋_GB2312" w:hAnsi="仿宋_GB2312" w:cs="仿宋_GB2312" w:eastAsia="仿宋_GB2312"/>
                      <w:sz w:val="21"/>
                    </w:rPr>
                    <w:t>。</w:t>
                  </w:r>
                </w:p>
                <w:p>
                  <w:pPr>
                    <w:pStyle w:val="null3"/>
                  </w:pP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 xml:space="preserve"> </w:t>
                  </w:r>
                  <w:r>
                    <w:rPr>
                      <w:rFonts w:ascii="仿宋_GB2312" w:hAnsi="仿宋_GB2312" w:cs="仿宋_GB2312" w:eastAsia="仿宋_GB2312"/>
                      <w:sz w:val="21"/>
                    </w:rPr>
                    <w:t>LACP、</w:t>
                  </w:r>
                  <w:r>
                    <w:rPr>
                      <w:rFonts w:ascii="仿宋_GB2312" w:hAnsi="仿宋_GB2312" w:cs="仿宋_GB2312" w:eastAsia="仿宋_GB2312"/>
                      <w:sz w:val="21"/>
                    </w:rPr>
                    <w:t>具有</w:t>
                  </w:r>
                  <w:r>
                    <w:rPr>
                      <w:rFonts w:ascii="仿宋_GB2312" w:hAnsi="仿宋_GB2312" w:cs="仿宋_GB2312" w:eastAsia="仿宋_GB2312"/>
                      <w:sz w:val="21"/>
                    </w:rPr>
                    <w:t>跨设备聚合</w:t>
                  </w:r>
                  <w:r>
                    <w:rPr>
                      <w:rFonts w:ascii="仿宋_GB2312" w:hAnsi="仿宋_GB2312" w:cs="仿宋_GB2312" w:eastAsia="仿宋_GB2312"/>
                      <w:sz w:val="21"/>
                    </w:rPr>
                    <w:t>。</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接入交换机</w:t>
                  </w:r>
                </w:p>
              </w:tc>
              <w:tc>
                <w:tcPr>
                  <w:tcW w:type="dxa" w:w="1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▲1、交换容量≥6</w:t>
                  </w:r>
                  <w:r>
                    <w:rPr>
                      <w:rFonts w:ascii="仿宋_GB2312" w:hAnsi="仿宋_GB2312" w:cs="仿宋_GB2312" w:eastAsia="仿宋_GB2312"/>
                      <w:sz w:val="21"/>
                    </w:rPr>
                    <w:t>7</w:t>
                  </w:r>
                  <w:r>
                    <w:rPr>
                      <w:rFonts w:ascii="仿宋_GB2312" w:hAnsi="仿宋_GB2312" w:cs="仿宋_GB2312" w:eastAsia="仿宋_GB2312"/>
                      <w:sz w:val="21"/>
                    </w:rPr>
                    <w:t>0Gbps，包转发率≥200Mpps</w:t>
                  </w:r>
                  <w:r>
                    <w:rPr>
                      <w:rFonts w:ascii="仿宋_GB2312" w:hAnsi="仿宋_GB2312" w:cs="仿宋_GB2312" w:eastAsia="仿宋_GB2312"/>
                      <w:sz w:val="21"/>
                    </w:rPr>
                    <w:t>。</w:t>
                  </w:r>
                </w:p>
                <w:p>
                  <w:pPr>
                    <w:pStyle w:val="null3"/>
                  </w:pPr>
                  <w:r>
                    <w:rPr>
                      <w:rFonts w:ascii="仿宋_GB2312" w:hAnsi="仿宋_GB2312" w:cs="仿宋_GB2312" w:eastAsia="仿宋_GB2312"/>
                      <w:sz w:val="21"/>
                    </w:rPr>
                    <w:t>2、千兆电口≥48个，万兆光口≥4个，console口≥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具有</w:t>
                  </w:r>
                  <w:r>
                    <w:rPr>
                      <w:rFonts w:ascii="仿宋_GB2312" w:hAnsi="仿宋_GB2312" w:cs="仿宋_GB2312" w:eastAsia="仿宋_GB2312"/>
                      <w:sz w:val="21"/>
                    </w:rPr>
                    <w:t>802.1Q VLAN</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具有</w:t>
                  </w:r>
                  <w:r>
                    <w:rPr>
                      <w:rFonts w:ascii="仿宋_GB2312" w:hAnsi="仿宋_GB2312" w:cs="仿宋_GB2312" w:eastAsia="仿宋_GB2312"/>
                      <w:sz w:val="21"/>
                    </w:rPr>
                    <w:t>802.1x认证</w:t>
                  </w:r>
                  <w:r>
                    <w:rPr>
                      <w:rFonts w:ascii="仿宋_GB2312" w:hAnsi="仿宋_GB2312" w:cs="仿宋_GB2312" w:eastAsia="仿宋_GB2312"/>
                      <w:sz w:val="21"/>
                    </w:rPr>
                    <w:t>，支持集中式</w:t>
                  </w:r>
                  <w:r>
                    <w:rPr>
                      <w:rFonts w:ascii="仿宋_GB2312" w:hAnsi="仿宋_GB2312" w:cs="仿宋_GB2312" w:eastAsia="仿宋_GB2312"/>
                      <w:sz w:val="21"/>
                    </w:rPr>
                    <w:t>MAC地址认证。</w:t>
                  </w:r>
                </w:p>
                <w:p>
                  <w:pPr>
                    <w:pStyle w:val="null3"/>
                  </w:pPr>
                  <w:r>
                    <w:rPr>
                      <w:rFonts w:ascii="仿宋_GB2312" w:hAnsi="仿宋_GB2312" w:cs="仿宋_GB2312" w:eastAsia="仿宋_GB2312"/>
                      <w:sz w:val="21"/>
                    </w:rPr>
                    <w:t>5、</w:t>
                  </w:r>
                  <w:r>
                    <w:rPr>
                      <w:rFonts w:ascii="仿宋_GB2312" w:hAnsi="仿宋_GB2312" w:cs="仿宋_GB2312" w:eastAsia="仿宋_GB2312"/>
                      <w:sz w:val="21"/>
                    </w:rPr>
                    <w:t>具有</w:t>
                  </w:r>
                  <w:r>
                    <w:rPr>
                      <w:rFonts w:ascii="仿宋_GB2312" w:hAnsi="仿宋_GB2312" w:cs="仿宋_GB2312" w:eastAsia="仿宋_GB2312"/>
                      <w:sz w:val="21"/>
                    </w:rPr>
                    <w:t xml:space="preserve"> </w:t>
                  </w:r>
                  <w:r>
                    <w:rPr>
                      <w:rFonts w:ascii="仿宋_GB2312" w:hAnsi="仿宋_GB2312" w:cs="仿宋_GB2312" w:eastAsia="仿宋_GB2312"/>
                      <w:sz w:val="21"/>
                    </w:rPr>
                    <w:t>IPv4/IPv6 静态路由；支持 RIP/RIPng，OSPF</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6、具有</w:t>
                  </w:r>
                  <w:r>
                    <w:rPr>
                      <w:rFonts w:ascii="仿宋_GB2312" w:hAnsi="仿宋_GB2312" w:cs="仿宋_GB2312" w:eastAsia="仿宋_GB2312"/>
                      <w:sz w:val="21"/>
                    </w:rPr>
                    <w:t>ARP 检测和限速功能，实现CPU 保护功能，</w:t>
                  </w:r>
                  <w:r>
                    <w:rPr>
                      <w:rFonts w:ascii="仿宋_GB2312" w:hAnsi="仿宋_GB2312" w:cs="仿宋_GB2312" w:eastAsia="仿宋_GB2312"/>
                      <w:sz w:val="21"/>
                    </w:rPr>
                    <w:t>具有</w:t>
                  </w:r>
                  <w:r>
                    <w:rPr>
                      <w:rFonts w:ascii="仿宋_GB2312" w:hAnsi="仿宋_GB2312" w:cs="仿宋_GB2312" w:eastAsia="仿宋_GB2312"/>
                      <w:sz w:val="21"/>
                    </w:rPr>
                    <w:t>远程端口镜像</w:t>
                  </w:r>
                  <w:r>
                    <w:rPr>
                      <w:rFonts w:ascii="仿宋_GB2312" w:hAnsi="仿宋_GB2312" w:cs="仿宋_GB2312" w:eastAsia="仿宋_GB2312"/>
                      <w:sz w:val="21"/>
                    </w:rPr>
                    <w:t>功能。</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24口POE交换机</w:t>
                  </w:r>
                </w:p>
              </w:tc>
              <w:tc>
                <w:tcPr>
                  <w:tcW w:type="dxa" w:w="1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、交换容量</w:t>
                  </w:r>
                  <w:r>
                    <w:rPr>
                      <w:rFonts w:ascii="仿宋_GB2312" w:hAnsi="仿宋_GB2312" w:cs="仿宋_GB2312" w:eastAsia="仿宋_GB2312"/>
                      <w:sz w:val="21"/>
                    </w:rPr>
                    <w:t>≥670Gbps，包转发率≥</w:t>
                  </w:r>
                  <w:r>
                    <w:rPr>
                      <w:rFonts w:ascii="仿宋_GB2312" w:hAnsi="仿宋_GB2312" w:cs="仿宋_GB2312" w:eastAsia="仿宋_GB2312"/>
                      <w:sz w:val="21"/>
                    </w:rPr>
                    <w:t>20</w:t>
                  </w:r>
                  <w:r>
                    <w:rPr>
                      <w:rFonts w:ascii="仿宋_GB2312" w:hAnsi="仿宋_GB2312" w:cs="仿宋_GB2312" w:eastAsia="仿宋_GB2312"/>
                      <w:sz w:val="21"/>
                    </w:rPr>
                    <w:t>0Mpps</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、千兆电口</w:t>
                  </w:r>
                  <w:r>
                    <w:rPr>
                      <w:rFonts w:ascii="仿宋_GB2312" w:hAnsi="仿宋_GB2312" w:cs="仿宋_GB2312" w:eastAsia="仿宋_GB2312"/>
                      <w:sz w:val="21"/>
                    </w:rPr>
                    <w:t>≥24个，万兆光口≥4个，万兆堆叠口或业务口≥2个，支持POE功能，POE功率≥400W</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VLAN网络分片功能，可以满足不同业务的不同SLA要求。切片之间可以完全隔离互不影响，流量在物理层隔离，业务在同一张物理网络上进行网络分片。</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802.1x认证，支持集中式MAC地址认证。</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IPv4静态路由、RIP、OSPF。</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w:t>
                  </w:r>
                  <w:r>
                    <w:rPr>
                      <w:rFonts w:ascii="仿宋_GB2312" w:hAnsi="仿宋_GB2312" w:cs="仿宋_GB2312" w:eastAsia="仿宋_GB2312"/>
                      <w:sz w:val="21"/>
                    </w:rPr>
                    <w:t>IPv6静态路由、RIPng、OSPFv3。</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48口POE交换机</w:t>
                  </w:r>
                </w:p>
              </w:tc>
              <w:tc>
                <w:tcPr>
                  <w:tcW w:type="dxa" w:w="1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1、交换容量≥6</w:t>
                  </w:r>
                  <w:r>
                    <w:rPr>
                      <w:rFonts w:ascii="仿宋_GB2312" w:hAnsi="仿宋_GB2312" w:cs="仿宋_GB2312" w:eastAsia="仿宋_GB2312"/>
                      <w:sz w:val="21"/>
                    </w:rPr>
                    <w:t>7</w:t>
                  </w:r>
                  <w:r>
                    <w:rPr>
                      <w:rFonts w:ascii="仿宋_GB2312" w:hAnsi="仿宋_GB2312" w:cs="仿宋_GB2312" w:eastAsia="仿宋_GB2312"/>
                      <w:sz w:val="21"/>
                    </w:rPr>
                    <w:t>0Gbps，包转发率≥200Mpps</w:t>
                  </w:r>
                  <w:r>
                    <w:rPr>
                      <w:rFonts w:ascii="仿宋_GB2312" w:hAnsi="仿宋_GB2312" w:cs="仿宋_GB2312" w:eastAsia="仿宋_GB2312"/>
                      <w:sz w:val="21"/>
                    </w:rPr>
                    <w:t>。</w:t>
                  </w:r>
                </w:p>
                <w:p>
                  <w:pPr>
                    <w:pStyle w:val="null3"/>
                  </w:pPr>
                  <w:r>
                    <w:rPr>
                      <w:rFonts w:ascii="仿宋_GB2312" w:hAnsi="仿宋_GB2312" w:cs="仿宋_GB2312" w:eastAsia="仿宋_GB2312"/>
                      <w:sz w:val="21"/>
                    </w:rPr>
                    <w:t>2、千兆电口≥48个，万兆光口≥4个，万兆堆叠口或业务口≥2个，</w:t>
                  </w:r>
                  <w:r>
                    <w:rPr>
                      <w:rFonts w:ascii="仿宋_GB2312" w:hAnsi="仿宋_GB2312" w:cs="仿宋_GB2312" w:eastAsia="仿宋_GB2312"/>
                      <w:sz w:val="21"/>
                    </w:rPr>
                    <w:t>具有</w:t>
                  </w:r>
                  <w:r>
                    <w:rPr>
                      <w:rFonts w:ascii="仿宋_GB2312" w:hAnsi="仿宋_GB2312" w:cs="仿宋_GB2312" w:eastAsia="仿宋_GB2312"/>
                      <w:sz w:val="21"/>
                    </w:rPr>
                    <w:t>POE功能，POE功率≥750W</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具有</w:t>
                  </w:r>
                  <w:r>
                    <w:rPr>
                      <w:rFonts w:ascii="仿宋_GB2312" w:hAnsi="仿宋_GB2312" w:cs="仿宋_GB2312" w:eastAsia="仿宋_GB2312"/>
                      <w:sz w:val="21"/>
                    </w:rPr>
                    <w:t>VLAN网络分片功能，可以满足不同业务的不同SLA要求。切片之间可以完全隔离互不影响，流量在物理层隔离，业务在同一张物理网络上进行网络分片。</w:t>
                  </w:r>
                </w:p>
                <w:p>
                  <w:pPr>
                    <w:pStyle w:val="null3"/>
                  </w:pPr>
                  <w:r>
                    <w:rPr>
                      <w:rFonts w:ascii="仿宋_GB2312" w:hAnsi="仿宋_GB2312" w:cs="仿宋_GB2312" w:eastAsia="仿宋_GB2312"/>
                      <w:sz w:val="21"/>
                    </w:rPr>
                    <w:t>4、</w:t>
                  </w:r>
                  <w:r>
                    <w:rPr>
                      <w:rFonts w:ascii="仿宋_GB2312" w:hAnsi="仿宋_GB2312" w:cs="仿宋_GB2312" w:eastAsia="仿宋_GB2312"/>
                      <w:sz w:val="21"/>
                    </w:rPr>
                    <w:t>具有</w:t>
                  </w:r>
                  <w:r>
                    <w:rPr>
                      <w:rFonts w:ascii="仿宋_GB2312" w:hAnsi="仿宋_GB2312" w:cs="仿宋_GB2312" w:eastAsia="仿宋_GB2312"/>
                      <w:sz w:val="21"/>
                    </w:rPr>
                    <w:t>802.1x认证，支持集中式MAC地址认证。</w:t>
                  </w:r>
                </w:p>
                <w:p>
                  <w:pPr>
                    <w:pStyle w:val="null3"/>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IPv4静态路由、RIP、OSPF。</w:t>
                  </w:r>
                </w:p>
                <w:p>
                  <w:pPr>
                    <w:pStyle w:val="null3"/>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IPv6静态路由、RIPng、OSPFv3。</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面板</w:t>
                  </w:r>
                  <w:r>
                    <w:rPr>
                      <w:rFonts w:ascii="仿宋_GB2312" w:hAnsi="仿宋_GB2312" w:cs="仿宋_GB2312" w:eastAsia="仿宋_GB2312"/>
                      <w:sz w:val="21"/>
                    </w:rPr>
                    <w:t>AP</w:t>
                  </w:r>
                </w:p>
              </w:tc>
              <w:tc>
                <w:tcPr>
                  <w:tcW w:type="dxa" w:w="1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具有</w:t>
                  </w:r>
                  <w:r>
                    <w:rPr>
                      <w:rFonts w:ascii="仿宋_GB2312" w:hAnsi="仿宋_GB2312" w:cs="仿宋_GB2312" w:eastAsia="仿宋_GB2312"/>
                      <w:sz w:val="21"/>
                    </w:rPr>
                    <w:t>802.11be标准，兼容IEEE 802.11a/b/g/n/ac/ax</w:t>
                  </w:r>
                  <w:r>
                    <w:rPr>
                      <w:rFonts w:ascii="仿宋_GB2312" w:hAnsi="仿宋_GB2312" w:cs="仿宋_GB2312" w:eastAsia="仿宋_GB2312"/>
                      <w:sz w:val="21"/>
                    </w:rPr>
                    <w:t>等</w:t>
                  </w:r>
                  <w:r>
                    <w:rPr>
                      <w:rFonts w:ascii="仿宋_GB2312" w:hAnsi="仿宋_GB2312" w:cs="仿宋_GB2312" w:eastAsia="仿宋_GB2312"/>
                      <w:sz w:val="21"/>
                    </w:rPr>
                    <w:t>标准</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整机支持</w:t>
                  </w:r>
                  <w:r>
                    <w:rPr>
                      <w:rFonts w:ascii="仿宋_GB2312" w:hAnsi="仿宋_GB2312" w:cs="仿宋_GB2312" w:eastAsia="仿宋_GB2312"/>
                      <w:sz w:val="21"/>
                    </w:rPr>
                    <w:t>≥4空间流，最大接入速率≥3.5Gbps</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千兆</w:t>
                  </w:r>
                  <w:r>
                    <w:rPr>
                      <w:rFonts w:ascii="仿宋_GB2312" w:hAnsi="仿宋_GB2312" w:cs="仿宋_GB2312" w:eastAsia="仿宋_GB2312"/>
                      <w:sz w:val="21"/>
                    </w:rPr>
                    <w:t>电口</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2.5GE</w:t>
                  </w:r>
                  <w:r>
                    <w:rPr>
                      <w:rFonts w:ascii="仿宋_GB2312" w:hAnsi="仿宋_GB2312" w:cs="仿宋_GB2312" w:eastAsia="仿宋_GB2312"/>
                      <w:sz w:val="21"/>
                    </w:rPr>
                    <w:t>端</w:t>
                  </w:r>
                  <w:r>
                    <w:rPr>
                      <w:rFonts w:ascii="仿宋_GB2312" w:hAnsi="仿宋_GB2312" w:cs="仿宋_GB2312" w:eastAsia="仿宋_GB2312"/>
                      <w:sz w:val="21"/>
                    </w:rPr>
                    <w:t>口</w:t>
                  </w:r>
                  <w:r>
                    <w:rPr>
                      <w:rFonts w:ascii="仿宋_GB2312" w:hAnsi="仿宋_GB2312" w:cs="仿宋_GB2312" w:eastAsia="仿宋_GB2312"/>
                      <w:sz w:val="21"/>
                    </w:rPr>
                    <w:t>≥1，USB接口≥1</w:t>
                  </w:r>
                  <w:r>
                    <w:rPr>
                      <w:rFonts w:ascii="仿宋_GB2312" w:hAnsi="仿宋_GB2312" w:cs="仿宋_GB2312" w:eastAsia="仿宋_GB2312"/>
                      <w:sz w:val="21"/>
                    </w:rPr>
                    <w:t>个</w:t>
                  </w:r>
                  <w:r>
                    <w:rPr>
                      <w:rFonts w:ascii="仿宋_GB2312" w:hAnsi="仿宋_GB2312" w:cs="仿宋_GB2312" w:eastAsia="仿宋_GB2312"/>
                      <w:sz w:val="21"/>
                    </w:rPr>
                    <w:t>。</w:t>
                  </w:r>
                </w:p>
                <w:p>
                  <w:pPr>
                    <w:pStyle w:val="null3"/>
                  </w:pPr>
                  <w:r>
                    <w:rPr>
                      <w:rFonts w:ascii="仿宋_GB2312" w:hAnsi="仿宋_GB2312" w:cs="仿宋_GB2312" w:eastAsia="仿宋_GB2312"/>
                      <w:sz w:val="21"/>
                    </w:rPr>
                    <w:t>4、具有</w:t>
                  </w:r>
                  <w:r>
                    <w:rPr>
                      <w:rFonts w:ascii="仿宋_GB2312" w:hAnsi="仿宋_GB2312" w:cs="仿宋_GB2312" w:eastAsia="仿宋_GB2312"/>
                      <w:sz w:val="21"/>
                    </w:rPr>
                    <w:t>802.11k、802.11v 协议的智能漫游。</w:t>
                  </w:r>
                </w:p>
                <w:p>
                  <w:pPr>
                    <w:pStyle w:val="null3"/>
                  </w:pPr>
                  <w:r>
                    <w:rPr>
                      <w:rFonts w:ascii="仿宋_GB2312" w:hAnsi="仿宋_GB2312" w:cs="仿宋_GB2312" w:eastAsia="仿宋_GB2312"/>
                      <w:sz w:val="21"/>
                    </w:rPr>
                    <w:t>5、具有</w:t>
                  </w:r>
                  <w:r>
                    <w:rPr>
                      <w:rFonts w:ascii="仿宋_GB2312" w:hAnsi="仿宋_GB2312" w:cs="仿宋_GB2312" w:eastAsia="仿宋_GB2312"/>
                      <w:sz w:val="21"/>
                    </w:rPr>
                    <w:t>物联网扩展</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最大用户数</w:t>
                  </w:r>
                  <w:r>
                    <w:rPr>
                      <w:rFonts w:ascii="仿宋_GB2312" w:hAnsi="仿宋_GB2312" w:cs="仿宋_GB2312" w:eastAsia="仿宋_GB2312"/>
                      <w:sz w:val="21"/>
                    </w:rPr>
                    <w:t>≥256</w:t>
                  </w:r>
                  <w:r>
                    <w:rPr>
                      <w:rFonts w:ascii="仿宋_GB2312" w:hAnsi="仿宋_GB2312" w:cs="仿宋_GB2312" w:eastAsia="仿宋_GB2312"/>
                      <w:sz w:val="21"/>
                    </w:rPr>
                    <w:t>。</w:t>
                  </w:r>
                </w:p>
                <w:p>
                  <w:pPr>
                    <w:pStyle w:val="null3"/>
                  </w:pPr>
                  <w:r>
                    <w:rPr>
                      <w:rFonts w:ascii="仿宋_GB2312" w:hAnsi="仿宋_GB2312" w:cs="仿宋_GB2312" w:eastAsia="仿宋_GB2312"/>
                      <w:sz w:val="21"/>
                    </w:rPr>
                    <w:t>在施工过程中</w:t>
                  </w:r>
                  <w:r>
                    <w:rPr>
                      <w:rFonts w:ascii="仿宋_GB2312" w:hAnsi="仿宋_GB2312" w:cs="仿宋_GB2312" w:eastAsia="仿宋_GB2312"/>
                      <w:sz w:val="21"/>
                    </w:rPr>
                    <w:t>供应商需</w:t>
                  </w:r>
                  <w:r>
                    <w:rPr>
                      <w:rFonts w:ascii="仿宋_GB2312" w:hAnsi="仿宋_GB2312" w:cs="仿宋_GB2312" w:eastAsia="仿宋_GB2312"/>
                      <w:sz w:val="21"/>
                    </w:rPr>
                    <w:t>保障项目顺利完成和验收，确保交钥匙工程。</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r>
                    <w:rPr>
                      <w:rFonts w:ascii="仿宋_GB2312" w:hAnsi="仿宋_GB2312" w:cs="仿宋_GB2312" w:eastAsia="仿宋_GB2312"/>
                      <w:sz w:val="21"/>
                    </w:rPr>
                    <w:t>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放装</w:t>
                  </w:r>
                  <w:r>
                    <w:rPr>
                      <w:rFonts w:ascii="仿宋_GB2312" w:hAnsi="仿宋_GB2312" w:cs="仿宋_GB2312" w:eastAsia="仿宋_GB2312"/>
                      <w:sz w:val="21"/>
                    </w:rPr>
                    <w:t>AP</w:t>
                  </w:r>
                </w:p>
              </w:tc>
              <w:tc>
                <w:tcPr>
                  <w:tcW w:type="dxa" w:w="1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具有</w:t>
                  </w:r>
                  <w:r>
                    <w:rPr>
                      <w:rFonts w:ascii="仿宋_GB2312" w:hAnsi="仿宋_GB2312" w:cs="仿宋_GB2312" w:eastAsia="仿宋_GB2312"/>
                      <w:sz w:val="21"/>
                    </w:rPr>
                    <w:t>2.4GHz/5GHz双频段</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具有</w:t>
                  </w:r>
                  <w:r>
                    <w:rPr>
                      <w:rFonts w:ascii="仿宋_GB2312" w:hAnsi="仿宋_GB2312" w:cs="仿宋_GB2312" w:eastAsia="仿宋_GB2312"/>
                      <w:sz w:val="21"/>
                    </w:rPr>
                    <w:t>802.11be标准，兼容IEEE 802.11a/b/g/n/ac/ax</w:t>
                  </w:r>
                  <w:r>
                    <w:rPr>
                      <w:rFonts w:ascii="仿宋_GB2312" w:hAnsi="仿宋_GB2312" w:cs="仿宋_GB2312" w:eastAsia="仿宋_GB2312"/>
                      <w:sz w:val="21"/>
                    </w:rPr>
                    <w:t>等</w:t>
                  </w:r>
                  <w:r>
                    <w:rPr>
                      <w:rFonts w:ascii="仿宋_GB2312" w:hAnsi="仿宋_GB2312" w:cs="仿宋_GB2312" w:eastAsia="仿宋_GB2312"/>
                      <w:sz w:val="21"/>
                    </w:rPr>
                    <w:t>标准</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2.5GE</w:t>
                  </w:r>
                  <w:r>
                    <w:rPr>
                      <w:rFonts w:ascii="仿宋_GB2312" w:hAnsi="仿宋_GB2312" w:cs="仿宋_GB2312" w:eastAsia="仿宋_GB2312"/>
                      <w:sz w:val="21"/>
                    </w:rPr>
                    <w:t>电口</w:t>
                  </w:r>
                  <w:r>
                    <w:rPr>
                      <w:rFonts w:ascii="仿宋_GB2312" w:hAnsi="仿宋_GB2312" w:cs="仿宋_GB2312" w:eastAsia="仿宋_GB2312"/>
                      <w:sz w:val="21"/>
                    </w:rPr>
                    <w:t>≥1个</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整机最大支持</w:t>
                  </w:r>
                  <w:r>
                    <w:rPr>
                      <w:rFonts w:ascii="仿宋_GB2312" w:hAnsi="仿宋_GB2312" w:cs="仿宋_GB2312" w:eastAsia="仿宋_GB2312"/>
                      <w:sz w:val="21"/>
                    </w:rPr>
                    <w:t>4空间流，最大接入速率≥3.5Gbps</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具有</w:t>
                  </w:r>
                  <w:r>
                    <w:rPr>
                      <w:rFonts w:ascii="仿宋_GB2312" w:hAnsi="仿宋_GB2312" w:cs="仿宋_GB2312" w:eastAsia="仿宋_GB2312"/>
                      <w:sz w:val="21"/>
                    </w:rPr>
                    <w:t>802.11k、802.11v 协议的智能漫游。</w:t>
                  </w:r>
                </w:p>
                <w:p>
                  <w:pPr>
                    <w:pStyle w:val="null3"/>
                  </w:pP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最大用户数</w:t>
                  </w:r>
                  <w:r>
                    <w:rPr>
                      <w:rFonts w:ascii="仿宋_GB2312" w:hAnsi="仿宋_GB2312" w:cs="仿宋_GB2312" w:eastAsia="仿宋_GB2312"/>
                      <w:sz w:val="21"/>
                    </w:rPr>
                    <w:t>≥256</w:t>
                  </w:r>
                  <w:r>
                    <w:rPr>
                      <w:rFonts w:ascii="仿宋_GB2312" w:hAnsi="仿宋_GB2312" w:cs="仿宋_GB2312" w:eastAsia="仿宋_GB2312"/>
                      <w:sz w:val="21"/>
                    </w:rPr>
                    <w:t>。</w:t>
                  </w:r>
                </w:p>
                <w:p>
                  <w:pPr>
                    <w:pStyle w:val="null3"/>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物联网扩展。</w:t>
                  </w:r>
                </w:p>
                <w:p>
                  <w:pPr>
                    <w:pStyle w:val="null3"/>
                  </w:pPr>
                  <w:r>
                    <w:rPr>
                      <w:rFonts w:ascii="仿宋_GB2312" w:hAnsi="仿宋_GB2312" w:cs="仿宋_GB2312" w:eastAsia="仿宋_GB2312"/>
                      <w:sz w:val="21"/>
                    </w:rPr>
                    <w:t>在施工过程中</w:t>
                  </w:r>
                  <w:r>
                    <w:rPr>
                      <w:rFonts w:ascii="仿宋_GB2312" w:hAnsi="仿宋_GB2312" w:cs="仿宋_GB2312" w:eastAsia="仿宋_GB2312"/>
                      <w:sz w:val="21"/>
                    </w:rPr>
                    <w:t>供应商需</w:t>
                  </w:r>
                  <w:r>
                    <w:rPr>
                      <w:rFonts w:ascii="仿宋_GB2312" w:hAnsi="仿宋_GB2312" w:cs="仿宋_GB2312" w:eastAsia="仿宋_GB2312"/>
                      <w:sz w:val="21"/>
                    </w:rPr>
                    <w:t>保障项目顺利完成和验收，确保交钥匙工程。</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50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万兆单模光模块</w:t>
                  </w:r>
                </w:p>
              </w:tc>
              <w:tc>
                <w:tcPr>
                  <w:tcW w:type="dxa" w:w="1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光模块</w:t>
                  </w:r>
                  <w:r>
                    <w:rPr>
                      <w:rFonts w:ascii="仿宋_GB2312" w:hAnsi="仿宋_GB2312" w:cs="仿宋_GB2312" w:eastAsia="仿宋_GB2312"/>
                      <w:sz w:val="21"/>
                    </w:rPr>
                    <w:t>-SFP+-10G-单模模块</w:t>
                  </w:r>
                  <w:r>
                    <w:rPr>
                      <w:rFonts w:ascii="仿宋_GB2312" w:hAnsi="仿宋_GB2312" w:cs="仿宋_GB2312" w:eastAsia="仿宋_GB2312"/>
                      <w:sz w:val="21"/>
                    </w:rPr>
                    <w:t>。</w:t>
                  </w:r>
                </w:p>
                <w:p>
                  <w:pPr>
                    <w:pStyle w:val="null3"/>
                  </w:pPr>
                  <w:r>
                    <w:rPr>
                      <w:rFonts w:ascii="仿宋_GB2312" w:hAnsi="仿宋_GB2312" w:cs="仿宋_GB2312" w:eastAsia="仿宋_GB2312"/>
                      <w:sz w:val="21"/>
                    </w:rPr>
                    <w:t>在施工过程中</w:t>
                  </w:r>
                  <w:r>
                    <w:rPr>
                      <w:rFonts w:ascii="仿宋_GB2312" w:hAnsi="仿宋_GB2312" w:cs="仿宋_GB2312" w:eastAsia="仿宋_GB2312"/>
                      <w:sz w:val="21"/>
                    </w:rPr>
                    <w:t>供应商需</w:t>
                  </w:r>
                  <w:r>
                    <w:rPr>
                      <w:rFonts w:ascii="仿宋_GB2312" w:hAnsi="仿宋_GB2312" w:cs="仿宋_GB2312" w:eastAsia="仿宋_GB2312"/>
                      <w:sz w:val="21"/>
                    </w:rPr>
                    <w:t>保障项目顺利完成和验收，确保交钥匙工程。</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万兆多模光模块</w:t>
                  </w:r>
                </w:p>
              </w:tc>
              <w:tc>
                <w:tcPr>
                  <w:tcW w:type="dxa" w:w="1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光模块</w:t>
                  </w:r>
                  <w:r>
                    <w:rPr>
                      <w:rFonts w:ascii="仿宋_GB2312" w:hAnsi="仿宋_GB2312" w:cs="仿宋_GB2312" w:eastAsia="仿宋_GB2312"/>
                      <w:sz w:val="21"/>
                    </w:rPr>
                    <w:t>-SFP+-10G-多模模块</w:t>
                  </w:r>
                  <w:r>
                    <w:rPr>
                      <w:rFonts w:ascii="仿宋_GB2312" w:hAnsi="仿宋_GB2312" w:cs="仿宋_GB2312" w:eastAsia="仿宋_GB2312"/>
                      <w:sz w:val="21"/>
                    </w:rPr>
                    <w:t>。</w:t>
                  </w:r>
                </w:p>
                <w:p>
                  <w:pPr>
                    <w:pStyle w:val="null3"/>
                  </w:pPr>
                  <w:r>
                    <w:rPr>
                      <w:rFonts w:ascii="仿宋_GB2312" w:hAnsi="仿宋_GB2312" w:cs="仿宋_GB2312" w:eastAsia="仿宋_GB2312"/>
                      <w:sz w:val="21"/>
                    </w:rPr>
                    <w:t>在施工过程中</w:t>
                  </w:r>
                  <w:r>
                    <w:rPr>
                      <w:rFonts w:ascii="仿宋_GB2312" w:hAnsi="仿宋_GB2312" w:cs="仿宋_GB2312" w:eastAsia="仿宋_GB2312"/>
                      <w:sz w:val="21"/>
                    </w:rPr>
                    <w:t>供应商需</w:t>
                  </w:r>
                  <w:r>
                    <w:rPr>
                      <w:rFonts w:ascii="仿宋_GB2312" w:hAnsi="仿宋_GB2312" w:cs="仿宋_GB2312" w:eastAsia="仿宋_GB2312"/>
                      <w:sz w:val="21"/>
                    </w:rPr>
                    <w:t>保障项目顺利完成和验收，确保交钥匙工程。</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综合布线</w:t>
                  </w:r>
                </w:p>
              </w:tc>
              <w:tc>
                <w:tcPr>
                  <w:tcW w:type="dxa" w:w="1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1、医院塔楼四层机房至住院1、2部、门诊楼</w:t>
                  </w:r>
                  <w:r>
                    <w:rPr>
                      <w:rFonts w:ascii="仿宋_GB2312" w:hAnsi="仿宋_GB2312" w:cs="仿宋_GB2312" w:eastAsia="仿宋_GB2312"/>
                      <w:sz w:val="21"/>
                    </w:rPr>
                    <w:t>、</w:t>
                  </w:r>
                  <w:r>
                    <w:rPr>
                      <w:rFonts w:ascii="仿宋_GB2312" w:hAnsi="仿宋_GB2312" w:cs="仿宋_GB2312" w:eastAsia="仿宋_GB2312"/>
                      <w:sz w:val="21"/>
                    </w:rPr>
                    <w:t>皮肤病院弱电井</w:t>
                  </w:r>
                  <w:r>
                    <w:rPr>
                      <w:rFonts w:ascii="仿宋_GB2312" w:hAnsi="仿宋_GB2312" w:cs="仿宋_GB2312" w:eastAsia="仿宋_GB2312"/>
                      <w:sz w:val="21"/>
                    </w:rPr>
                    <w:t>光缆连接</w:t>
                  </w:r>
                  <w:r>
                    <w:rPr>
                      <w:rFonts w:ascii="仿宋_GB2312" w:hAnsi="仿宋_GB2312" w:cs="仿宋_GB2312" w:eastAsia="仿宋_GB2312"/>
                      <w:sz w:val="21"/>
                    </w:rPr>
                    <w:t>，</w:t>
                  </w:r>
                  <w:r>
                    <w:rPr>
                      <w:rFonts w:ascii="仿宋_GB2312" w:hAnsi="仿宋_GB2312" w:cs="仿宋_GB2312" w:eastAsia="仿宋_GB2312"/>
                      <w:sz w:val="21"/>
                    </w:rPr>
                    <w:t>使用</w:t>
                  </w:r>
                  <w:r>
                    <w:rPr>
                      <w:rFonts w:ascii="仿宋_GB2312" w:hAnsi="仿宋_GB2312" w:cs="仿宋_GB2312" w:eastAsia="仿宋_GB2312"/>
                      <w:sz w:val="21"/>
                    </w:rPr>
                    <w:t>电信级室外</w:t>
                  </w:r>
                  <w:r>
                    <w:rPr>
                      <w:rFonts w:ascii="仿宋_GB2312" w:hAnsi="仿宋_GB2312" w:cs="仿宋_GB2312" w:eastAsia="仿宋_GB2312"/>
                      <w:sz w:val="21"/>
                    </w:rPr>
                    <w:t>12芯单模光缆，磷化钢丝用于保护光纤免受机械拉力</w:t>
                  </w:r>
                  <w:r>
                    <w:rPr>
                      <w:rFonts w:ascii="仿宋_GB2312" w:hAnsi="仿宋_GB2312" w:cs="仿宋_GB2312" w:eastAsia="仿宋_GB2312"/>
                      <w:sz w:val="21"/>
                    </w:rPr>
                    <w:t>。</w:t>
                  </w:r>
                  <w:r>
                    <w:rPr>
                      <w:rFonts w:ascii="仿宋_GB2312" w:hAnsi="仿宋_GB2312" w:cs="仿宋_GB2312" w:eastAsia="仿宋_GB2312"/>
                      <w:sz w:val="21"/>
                    </w:rPr>
                    <w:t>交换机光纤连接满足所有设备点位</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超</w:t>
                  </w:r>
                  <w:r>
                    <w:rPr>
                      <w:rFonts w:ascii="仿宋_GB2312" w:hAnsi="仿宋_GB2312" w:cs="仿宋_GB2312" w:eastAsia="仿宋_GB2312"/>
                      <w:sz w:val="21"/>
                    </w:rPr>
                    <w:t>6类非屏蔽双绞线,满足所有点位。外层护套采用低烟无卤材料，纯铜线芯直径≥0.52mm（AWG24）；线对采用退扭技术，保证绞结长度均匀，绝缘层无挤压，减少应力影响；护套采用半紧包工艺，中心采用PE白色十字骨架分离，保证线缆结构稳定。使用温度-20℃～60℃；安装温度0℃～60℃ ；存储温度-20℃～75℃；支持应用：以太网10Base-T、快速以太网100Base-T、千兆以太网1000Base-T。</w:t>
                  </w:r>
                </w:p>
                <w:p>
                  <w:pPr>
                    <w:pStyle w:val="null3"/>
                  </w:pPr>
                  <w:r>
                    <w:rPr>
                      <w:rFonts w:ascii="仿宋_GB2312" w:hAnsi="仿宋_GB2312" w:cs="仿宋_GB2312" w:eastAsia="仿宋_GB2312"/>
                      <w:sz w:val="21"/>
                    </w:rPr>
                    <w:t>3、末端采用</w:t>
                  </w:r>
                  <w:r>
                    <w:rPr>
                      <w:rFonts w:ascii="仿宋_GB2312" w:hAnsi="仿宋_GB2312" w:cs="仿宋_GB2312" w:eastAsia="仿宋_GB2312"/>
                      <w:sz w:val="21"/>
                    </w:rPr>
                    <w:t>超</w:t>
                  </w:r>
                  <w:r>
                    <w:rPr>
                      <w:rFonts w:ascii="仿宋_GB2312" w:hAnsi="仿宋_GB2312" w:cs="仿宋_GB2312" w:eastAsia="仿宋_GB2312"/>
                      <w:sz w:val="21"/>
                    </w:rPr>
                    <w:t>6类水晶头插接无线AP。</w:t>
                  </w:r>
                </w:p>
                <w:p>
                  <w:pPr>
                    <w:pStyle w:val="null3"/>
                  </w:pPr>
                  <w:r>
                    <w:rPr>
                      <w:rFonts w:ascii="仿宋_GB2312" w:hAnsi="仿宋_GB2312" w:cs="仿宋_GB2312" w:eastAsia="仿宋_GB2312"/>
                      <w:sz w:val="21"/>
                    </w:rPr>
                    <w:t>4、1U光纤配线架10个。24口LC光纤配线架，满配LC-LC法兰；提供光纤、光纤熔接、LC尾纤、LC-LC光纤跳线。</w:t>
                  </w:r>
                </w:p>
                <w:p>
                  <w:pPr>
                    <w:pStyle w:val="null3"/>
                  </w:pPr>
                  <w:r>
                    <w:rPr>
                      <w:rFonts w:ascii="仿宋_GB2312" w:hAnsi="仿宋_GB2312" w:cs="仿宋_GB2312" w:eastAsia="仿宋_GB2312"/>
                      <w:sz w:val="21"/>
                    </w:rPr>
                    <w:t>在施工过程中</w:t>
                  </w:r>
                  <w:r>
                    <w:rPr>
                      <w:rFonts w:ascii="仿宋_GB2312" w:hAnsi="仿宋_GB2312" w:cs="仿宋_GB2312" w:eastAsia="仿宋_GB2312"/>
                      <w:sz w:val="21"/>
                    </w:rPr>
                    <w:t>供应商需</w:t>
                  </w:r>
                  <w:r>
                    <w:rPr>
                      <w:rFonts w:ascii="仿宋_GB2312" w:hAnsi="仿宋_GB2312" w:cs="仿宋_GB2312" w:eastAsia="仿宋_GB2312"/>
                      <w:sz w:val="21"/>
                    </w:rPr>
                    <w:t>保障项目顺利完成和验收，确保交钥匙工程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提供承诺书</w:t>
                  </w:r>
                  <w:r>
                    <w:rPr>
                      <w:rFonts w:ascii="仿宋_GB2312" w:hAnsi="仿宋_GB2312" w:cs="仿宋_GB2312" w:eastAsia="仿宋_GB2312"/>
                      <w:sz w:val="21"/>
                    </w:rPr>
                    <w:t>）</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4"/>
                <w:b/>
              </w:rPr>
              <w:t>四、服务要求</w:t>
            </w:r>
          </w:p>
          <w:p>
            <w:pPr>
              <w:pStyle w:val="null3"/>
              <w:ind w:firstLine="420"/>
            </w:pPr>
            <w:r>
              <w:rPr>
                <w:rFonts w:ascii="仿宋_GB2312" w:hAnsi="仿宋_GB2312" w:cs="仿宋_GB2312" w:eastAsia="仿宋_GB2312"/>
                <w:sz w:val="21"/>
              </w:rPr>
              <w:t>（一）售后服务方案</w:t>
            </w:r>
          </w:p>
          <w:p>
            <w:pPr>
              <w:pStyle w:val="null3"/>
              <w:ind w:firstLine="420"/>
            </w:pPr>
            <w:r>
              <w:rPr>
                <w:rFonts w:ascii="仿宋_GB2312" w:hAnsi="仿宋_GB2312" w:cs="仿宋_GB2312" w:eastAsia="仿宋_GB2312"/>
                <w:sz w:val="21"/>
              </w:rPr>
              <w:t>投标人投标时应根据项目的实际情况提供详尽的售后服务方案，方案应至少包括以下内容：</w:t>
            </w:r>
          </w:p>
          <w:p>
            <w:pPr>
              <w:pStyle w:val="null3"/>
              <w:ind w:firstLine="420"/>
            </w:pPr>
            <w:r>
              <w:rPr>
                <w:rFonts w:ascii="仿宋_GB2312" w:hAnsi="仿宋_GB2312" w:cs="仿宋_GB2312" w:eastAsia="仿宋_GB2312"/>
                <w:sz w:val="21"/>
              </w:rPr>
              <w:t>1、培训内容及培训的时间、地点、人员、目标。</w:t>
            </w:r>
          </w:p>
          <w:p>
            <w:pPr>
              <w:pStyle w:val="null3"/>
              <w:ind w:firstLine="420"/>
            </w:pPr>
            <w:r>
              <w:rPr>
                <w:rFonts w:ascii="仿宋_GB2312" w:hAnsi="仿宋_GB2312" w:cs="仿宋_GB2312" w:eastAsia="仿宋_GB2312"/>
                <w:sz w:val="21"/>
              </w:rPr>
              <w:t>2、保修期：软件、设备安装调试完毕，经采购人验收合格后起算保修期；供方必须明确该产品的保修时间、保修期内的保修内容与范围、维修响应时间等；保修期限内发生故障无法修复由</w:t>
            </w:r>
            <w:r>
              <w:rPr>
                <w:rFonts w:ascii="仿宋_GB2312" w:hAnsi="仿宋_GB2312" w:cs="仿宋_GB2312" w:eastAsia="仿宋_GB2312"/>
                <w:sz w:val="21"/>
              </w:rPr>
              <w:t>供应商</w:t>
            </w:r>
            <w:r>
              <w:rPr>
                <w:rFonts w:ascii="仿宋_GB2312" w:hAnsi="仿宋_GB2312" w:cs="仿宋_GB2312" w:eastAsia="仿宋_GB2312"/>
                <w:sz w:val="21"/>
              </w:rPr>
              <w:t>免费更换。</w:t>
            </w:r>
          </w:p>
          <w:p>
            <w:pPr>
              <w:pStyle w:val="null3"/>
              <w:ind w:firstLine="420"/>
            </w:pPr>
            <w:r>
              <w:rPr>
                <w:rFonts w:ascii="仿宋_GB2312" w:hAnsi="仿宋_GB2312" w:cs="仿宋_GB2312" w:eastAsia="仿宋_GB2312"/>
                <w:sz w:val="21"/>
              </w:rPr>
              <w:t>3、售后服务的范围。</w:t>
            </w:r>
          </w:p>
          <w:p>
            <w:pPr>
              <w:pStyle w:val="null3"/>
              <w:ind w:firstLine="420"/>
            </w:pPr>
            <w:r>
              <w:rPr>
                <w:rFonts w:ascii="仿宋_GB2312" w:hAnsi="仿宋_GB2312" w:cs="仿宋_GB2312" w:eastAsia="仿宋_GB2312"/>
                <w:sz w:val="21"/>
              </w:rPr>
              <w:t>4、售后服务的具体内容。</w:t>
            </w:r>
          </w:p>
          <w:p>
            <w:pPr>
              <w:pStyle w:val="null3"/>
              <w:ind w:firstLine="420"/>
            </w:pPr>
            <w:r>
              <w:rPr>
                <w:rFonts w:ascii="仿宋_GB2312" w:hAnsi="仿宋_GB2312" w:cs="仿宋_GB2312" w:eastAsia="仿宋_GB2312"/>
                <w:sz w:val="21"/>
              </w:rPr>
              <w:t>5、延保期：明确硬件产品保修期外的维修响应时间、维护费收取标准（软件不高于报价总金额的5%，硬件不高于报价总金额的3%）等内容。</w:t>
            </w:r>
          </w:p>
          <w:p>
            <w:pPr>
              <w:pStyle w:val="null3"/>
              <w:ind w:firstLine="420"/>
            </w:pPr>
            <w:r>
              <w:rPr>
                <w:rFonts w:ascii="仿宋_GB2312" w:hAnsi="仿宋_GB2312" w:cs="仿宋_GB2312" w:eastAsia="仿宋_GB2312"/>
                <w:sz w:val="21"/>
              </w:rPr>
              <w:t>6、备品备件：产品发生故障无法正常运行时，供方应提供不低于采购设备总量5%的备件，直至故障件维修或采购完成，供方须明确备件存放地点和备件到场时间。</w:t>
            </w:r>
          </w:p>
          <w:p>
            <w:pPr>
              <w:pStyle w:val="null3"/>
              <w:ind w:firstLine="420"/>
            </w:pPr>
            <w:r>
              <w:rPr>
                <w:rFonts w:ascii="仿宋_GB2312" w:hAnsi="仿宋_GB2312" w:cs="仿宋_GB2312" w:eastAsia="仿宋_GB2312"/>
                <w:sz w:val="21"/>
              </w:rPr>
              <w:t>（二）实施方案</w:t>
            </w:r>
          </w:p>
          <w:p>
            <w:pPr>
              <w:pStyle w:val="null3"/>
              <w:ind w:firstLine="420"/>
            </w:pPr>
            <w:r>
              <w:rPr>
                <w:rFonts w:ascii="仿宋_GB2312" w:hAnsi="仿宋_GB2312" w:cs="仿宋_GB2312" w:eastAsia="仿宋_GB2312"/>
                <w:sz w:val="21"/>
              </w:rPr>
              <w:t xml:space="preserve">1、投标人应根据本项目实际情况制定实施方案,方案包含但不限于: </w:t>
            </w:r>
            <w:r>
              <w:rPr>
                <w:rFonts w:ascii="仿宋_GB2312" w:hAnsi="仿宋_GB2312" w:cs="仿宋_GB2312" w:eastAsia="仿宋_GB2312"/>
                <w:sz w:val="21"/>
              </w:rPr>
              <w:t>①供货方案;②运输配送方案;③安装调试方案;④运行维护方案;⑤工期保障方案;⑥质量保证方案</w:t>
            </w:r>
            <w:r>
              <w:rPr>
                <w:rFonts w:ascii="仿宋_GB2312" w:hAnsi="仿宋_GB2312" w:cs="仿宋_GB2312" w:eastAsia="仿宋_GB2312"/>
                <w:sz w:val="21"/>
              </w:rPr>
              <w:t>；</w:t>
            </w:r>
            <w:r>
              <w:rPr>
                <w:rFonts w:ascii="仿宋_GB2312" w:hAnsi="仿宋_GB2312" w:cs="仿宋_GB2312" w:eastAsia="仿宋_GB2312"/>
                <w:sz w:val="21"/>
              </w:rPr>
              <w:t>⑦部署方案</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2、供应商针对本项目提供的货物应符合国家及行业现行技术规范标准，包括但不限于：《网络安全技术要求交换机设备》（GB/T 33563-2024）、《网络交换机安全技术要求》（GB/T 21050-2019）、《移动用户终端无线局域网技术指标和测试方法》（YDC 079-2009）</w:t>
            </w:r>
          </w:p>
          <w:p>
            <w:pPr>
              <w:pStyle w:val="null3"/>
              <w:ind w:firstLine="420"/>
            </w:pPr>
            <w:r>
              <w:rPr>
                <w:rFonts w:ascii="仿宋_GB2312" w:hAnsi="仿宋_GB2312" w:cs="仿宋_GB2312" w:eastAsia="仿宋_GB2312"/>
                <w:sz w:val="21"/>
              </w:rPr>
              <w:t>3、应急预案。在项目进行中充分考虑突发事件发生后的处置策略及步骤，具有应对突发事件的相应应急功能，同时提供具体操作内容及方式。应急方案应包括但不限于应急事件分类、各类应急事件的完整处理流程、业务恢复步骤、业务恢复后数据处理方案等。</w:t>
            </w:r>
          </w:p>
          <w:p>
            <w:pPr>
              <w:pStyle w:val="null3"/>
              <w:ind w:firstLine="420"/>
            </w:pPr>
            <w:r>
              <w:rPr>
                <w:rFonts w:ascii="仿宋_GB2312" w:hAnsi="仿宋_GB2312" w:cs="仿宋_GB2312" w:eastAsia="仿宋_GB2312"/>
                <w:sz w:val="21"/>
              </w:rPr>
              <w:t>（三）人员要求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投标人应针对本项目服务实施建立一个经验丰富的项目实施驻场团队，项目实施团队由</w:t>
            </w:r>
            <w:r>
              <w:rPr>
                <w:rFonts w:ascii="仿宋_GB2312" w:hAnsi="仿宋_GB2312" w:cs="仿宋_GB2312" w:eastAsia="仿宋_GB2312"/>
                <w:sz w:val="21"/>
              </w:rPr>
              <w:t>1 名专职负责的项目经理，不少于</w:t>
            </w:r>
            <w:r>
              <w:rPr>
                <w:rFonts w:ascii="仿宋_GB2312" w:hAnsi="仿宋_GB2312" w:cs="仿宋_GB2312" w:eastAsia="仿宋_GB2312"/>
                <w:sz w:val="21"/>
              </w:rPr>
              <w:t>4</w:t>
            </w:r>
            <w:r>
              <w:rPr>
                <w:rFonts w:ascii="仿宋_GB2312" w:hAnsi="仿宋_GB2312" w:cs="仿宋_GB2312" w:eastAsia="仿宋_GB2312"/>
                <w:sz w:val="21"/>
              </w:rPr>
              <w:t>人的现场开发工程师、实施工程师组成</w:t>
            </w:r>
            <w:r>
              <w:rPr>
                <w:rFonts w:ascii="仿宋_GB2312" w:hAnsi="仿宋_GB2312" w:cs="仿宋_GB2312" w:eastAsia="仿宋_GB2312"/>
                <w:sz w:val="21"/>
              </w:rPr>
              <w:t>，</w:t>
            </w:r>
            <w:r>
              <w:rPr>
                <w:rFonts w:ascii="仿宋_GB2312" w:hAnsi="仿宋_GB2312" w:cs="仿宋_GB2312" w:eastAsia="仿宋_GB2312"/>
                <w:sz w:val="21"/>
              </w:rPr>
              <w:t>以上人员需具有计算机与软件专业技术资格、提供投标单位出具的</w:t>
            </w:r>
            <w:r>
              <w:rPr>
                <w:rFonts w:ascii="仿宋_GB2312" w:hAnsi="仿宋_GB2312" w:cs="仿宋_GB2312" w:eastAsia="仿宋_GB2312"/>
                <w:sz w:val="21"/>
              </w:rPr>
              <w:t>近六个月任意一个月</w:t>
            </w:r>
            <w:r>
              <w:rPr>
                <w:rFonts w:ascii="仿宋_GB2312" w:hAnsi="仿宋_GB2312" w:cs="仿宋_GB2312" w:eastAsia="仿宋_GB2312"/>
                <w:sz w:val="21"/>
              </w:rPr>
              <w:t>社保缴纳证明、毕业证及身份证，加盖投标人公章</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本项目为交钥匙工程，中标人签订合同后1个月内完成项目初步验收，试运行3个月无故障后进行终验。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本项目通过初步验收后30日，中标人提供合同总金额正式发票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本项目终验通过后30日，中标人提供相应正式收据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项目终验合格之日起，稳定运行12个月后，中标人提供相应正式收据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本项目采购人将严格按照政府采购相关法律法规以及《财政部关于进一步加强政府采购需求和履约验收管理的指导意见》（财库[2016]205号）的要求进行验收。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1、中标人须按招标文件的要求提供合格的产品，自最终验收合格后质保期3年。质保期自最终验收合格之日起计算。 2、质保期内中标人在接到采购人故障通知后30分钟内响应要求，1小时内应委派专业技术人员到现场提供咨询、维修和更换有缺陷的零部件或整机等服务，并及时填写维修报告(包括故障原因、处理情况及采购人意见等)报采购人备案，若1小时内无法排除故障，则应先提供同档次备用机供采购人使用。其中发生一切费用由中标人承担。故障维修响应时间内未1小时内委派专业技术人员到现场提供咨询、维修和更换有缺陷的零部件或整机等服务，采购人可自行委托第三方进行维修，所需费用由中标人承担。质保期内中标人至少每季度对设备进行不定期的巡查检修。且须按合同条款提供服务,非因操作不当造成要更换的零配件由中标人负责包修、包换。在质保期结束前1个月，中标人须对货物进行一次全面的维护与保养。 3、质保期满后，中标人有责任(或在货物使用地区指定有能力的代理人)对货物在采购人认为必要时进行定期维护和修理，中标人在接到采购人故障通知后1小时内响应要求，2小时内应委派专业技术人员提供咨询、维修和更换有缺陷的零部件或整机等服务，承担终身维修服务。维修仅收取配件成本费等，不收取人工服务费。若中标人在规定时间内未能履行维保义务或拒绝维保的，采购人有权另行委托第三方进行维保，因此产生的除配件成本费外的费用由中标人承担。 4、退、换货：（1）在质保期内出现设备质量问题，采购人则有权要求更换设备。（2）如质保期内同一故障发生三次，或在48小时内无法修复，中标人无条件更换并承担全部费用，换货之后质保期自新设备通过最终验收之日起重新起算。（3）退换货期间需提供同档次备用机供采购人使用。 5、培训：中标人应负责对甲方使用、操作、维修、保养人员免费进行培训。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法定代表人授权书及被授权人身份证（加盖公章）（法定代表人直接参加投标，只须提交其身份证）（复印件加盖公章）。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提供2024年1月1日至投标截止日前任意一个月的纳税证明或完税证明（任意税种），依法免税的单位应提供相关证明材料。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提供2024年1月1日至投标截止日前任意一个月的社会保障资金缴存单据或社保机构开具的社会保险参保缴费情况证明，依法不需要缴纳社会保障资金的单位应提供相关证明材料。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三年无重大违法声明</w:t>
            </w:r>
          </w:p>
        </w:tc>
        <w:tc>
          <w:tcPr>
            <w:tcW w:type="dxa" w:w="3322"/>
          </w:tcPr>
          <w:p>
            <w:pPr>
              <w:pStyle w:val="null3"/>
            </w:pPr>
            <w:r>
              <w:rPr>
                <w:rFonts w:ascii="仿宋_GB2312" w:hAnsi="仿宋_GB2312" w:cs="仿宋_GB2312" w:eastAsia="仿宋_GB2312"/>
              </w:rPr>
              <w:t>投标人必须提供参加政府采购活动前3年内在经营活动中没有重大违法记录的书面声明。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产品技术指标评审</w:t>
            </w:r>
          </w:p>
        </w:tc>
        <w:tc>
          <w:tcPr>
            <w:tcW w:type="dxa" w:w="2492"/>
          </w:tcPr>
          <w:p>
            <w:pPr>
              <w:pStyle w:val="null3"/>
            </w:pPr>
            <w:r>
              <w:rPr>
                <w:rFonts w:ascii="仿宋_GB2312" w:hAnsi="仿宋_GB2312" w:cs="仿宋_GB2312" w:eastAsia="仿宋_GB2312"/>
              </w:rPr>
              <w:t>根据投标单位提供的功能参数/技术指标响应情况，完全满足招标文件要求的得23分，标▲项参数为重要技术条款，每负偏离一项扣1分；其他参数每有1条参数负偏离扣0.5分，扣完为止。 注：应逐条对应技术参数进行应答，其中标▲项（除服务要求）提供充足的佐证材料（包括功能截图、相关检测报告），标▲项（服务要求）按照招标文件提供充足的佐证材料，予以证明功能参数服务的技术响应性。说明： 1.未按招标文件要求提交“技术参数及要求应答表”本项不得分。 2.“技术参数及要求应答表”缺项、未按招标文件要求提供证明材料的，将视为此条不满足，视同负偏离处理。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投标人应根据本项目实际情况制定相应的项目实施方案,方案包含:①供货方案;②运输配送方案;③安装调试方案;④运行维护方案;⑤工期保障方案;⑥质量保证方案; ⑦部署方案；以上七个方面内容齐全、无瑕疵得14分；有缺项的扣2分/项；内容有瑕疵的扣1分/处。未提供的不得分。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人拟投入本项目配备的团队人员，均为投标人自有员工。配置的项目团队人员具有计算机技术与软件专业技术资格（高级），每具有1个得2分。具有计算机技术与软件专业技术资格（中级），每具有1个得0.5分。同一人拥有多个证书只计算一个证书，此项最多计算5个证书，最高得10分。未提供不得分。 提供人员身份证、毕业证、资格证书及投标单位出具的近六个月任意一个月社保缴纳证明，加盖投标人公章。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产品供应渠道正常，提供所投产品（移动护理系统、无线AC、汇聚交换机）合法来源渠道证明文件，包括但不限于生产厂家授权或销售合同或代理协议等相关证明资料，证明材料完整，链条清晰，全部满足计2分，证明材料提供不全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投标人所投产品具有含以下关键字的软件著作权： 1、移动护理 2、护理管理 3、护理病历。 投标人每具有1项得1分，满分为3分。软件著作权所有人必须与所投产品公司名称完全相符，所登记注册的软件名称可以与上述名称略有不同，其中移动护理应包括关键字：“移动、护理”， 护理管理应包括关键字：“护理、管理”，护理病历应包括关键字：“护理、病历”。提供软件著作权证书复印件加盖投标人公章。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提供2021年1月1日以来投标人具有的类似项目案例（以合同签订日期为准），每份合格业绩合同计1分，满分3分。 注：提供合同及验收材料复印件（1.合同至少包含有关项目内容的关键页及合同签署页；2.验收材料为验收报告或业主出具的证明材料等）并加盖公章，未提供或提供不完整不得分。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列明具体的应急方案，在项目进行中充分考虑突发事件发生后的处置策略及步骤，具有应对突发事件的相应应急功能，同时提供具体操作内容及方式。应急方案应包括但不限于应急事件分类、各类应急事件的完整处理流程、业务恢复步骤、业务恢复后数据处理方案等。 响应内容详细具体、科学合理、针对应急状况考虑全面，具有可行性，无瑕疵计5分； 存在1处瑕疵计4分； 存在2处瑕疵计3分； 存在3处瑕疵计2分； 存在4处瑕疵计1分 未提供或内容存在5处及以上瑕疵计0分。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根据投标人提供的项目管理方案，方案内容包括：①项目管理组织；②项目实施计划；③项目培训方案；④项目运维方案；进行综合评分。 方案科学、实用，内容完整，完全满足采购需求，无瑕疵计4分； 存在1处瑕疵计3分； 存在2处瑕疵计2分； 存在3处瑕疵计1分； 未提供或内容存在4处及以上瑕疵：0分。 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投标时根据项目的实际情况提供详尽的售后服务方案，方案内容至少包含：1、保修期：软件、设备安装调试完毕，经采购人验收合格后起算保修期；供方必须明确该产品的保修时间、保修期内的保修内容与范围、维修响应时间等；保修期限内发生故障无法修复由供方免费更换。2、售后服务的范围。3、售后服务的具体内容。4、延保期：明确硬件产品保修期外的维修响应时间、维护费收取标准等内容。以上4个方面内容齐全、无缺陷得6分；有缺项的扣1.5分/项；内容有瑕疵的扣1分/处。未提供的不得分。 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超出采购限额的报价按无效报价处理计零分，在预算限额之内满足招标文件要求且投标价格最低的投标报价为评标基准价，其价格分为满分。高于评标基准价的投标供应商的价格分按照下列公式计算：投标报价得分=（评标基准价/投标报价）×价格权值×100 计算分数时四舍五入取小数点后两位 注：（1）根据《政府采购促进中小企业发展暂行办法》的相关规定，对小型和微型企业的价格给予10%的扣除，用扣除后的价格参与评审。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