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2C2FD4">
      <w:pPr>
        <w:spacing w:line="520" w:lineRule="exact"/>
        <w:rPr>
          <w:rFonts w:hint="eastAsia" w:ascii="宋体" w:hAnsi="宋体"/>
          <w:color w:val="auto"/>
          <w:sz w:val="28"/>
          <w:szCs w:val="28"/>
          <w:highlight w:val="none"/>
        </w:rPr>
      </w:pPr>
      <w:r>
        <w:rPr>
          <w:rFonts w:hint="eastAsia" w:ascii="宋体" w:hAnsi="宋体"/>
          <w:b/>
          <w:color w:val="auto"/>
          <w:sz w:val="24"/>
          <w:szCs w:val="24"/>
          <w:highlight w:val="none"/>
          <w:lang w:val="zh-CN"/>
        </w:rPr>
        <w:t>（此合同主要条款，除商务条款外，其余部分只作为参考，最终合同</w:t>
      </w:r>
      <w:r>
        <w:rPr>
          <w:rFonts w:hint="eastAsia" w:ascii="宋体" w:hAnsi="宋体"/>
          <w:b/>
          <w:color w:val="auto"/>
          <w:sz w:val="24"/>
          <w:szCs w:val="24"/>
          <w:highlight w:val="none"/>
        </w:rPr>
        <w:t>以</w:t>
      </w:r>
      <w:r>
        <w:rPr>
          <w:rFonts w:hint="eastAsia" w:ascii="宋体" w:hAnsi="宋体"/>
          <w:b/>
          <w:color w:val="auto"/>
          <w:sz w:val="24"/>
          <w:szCs w:val="24"/>
          <w:highlight w:val="none"/>
          <w:lang w:val="zh-CN"/>
        </w:rPr>
        <w:t>采购人给出的合同定稿为准。）</w:t>
      </w:r>
    </w:p>
    <w:p w14:paraId="38B90988">
      <w:pPr>
        <w:rPr>
          <w:rFonts w:hint="eastAsia" w:ascii="宋体" w:hAnsi="宋体" w:cs="宋体"/>
          <w:color w:val="auto"/>
          <w:sz w:val="28"/>
          <w:szCs w:val="28"/>
          <w:highlight w:val="none"/>
        </w:rPr>
      </w:pPr>
    </w:p>
    <w:p w14:paraId="58AE9278">
      <w:pPr>
        <w:jc w:val="center"/>
        <w:rPr>
          <w:rFonts w:hint="eastAsia" w:ascii="宋体" w:hAnsi="宋体" w:cs="宋体"/>
          <w:color w:val="auto"/>
          <w:sz w:val="28"/>
          <w:szCs w:val="28"/>
          <w:highlight w:val="none"/>
        </w:rPr>
      </w:pPr>
      <w:bookmarkStart w:id="0" w:name="_GoBack"/>
      <w:bookmarkEnd w:id="0"/>
    </w:p>
    <w:p w14:paraId="5F783C0A">
      <w:pPr>
        <w:jc w:val="center"/>
        <w:rPr>
          <w:rFonts w:hint="eastAsia" w:ascii="宋体" w:hAnsi="宋体" w:cs="宋体"/>
          <w:b/>
          <w:color w:val="auto"/>
          <w:sz w:val="36"/>
          <w:szCs w:val="36"/>
          <w:highlight w:val="none"/>
        </w:rPr>
      </w:pPr>
    </w:p>
    <w:p w14:paraId="0F71EECE">
      <w:pPr>
        <w:jc w:val="center"/>
        <w:rPr>
          <w:rFonts w:hint="eastAsia" w:ascii="宋体" w:hAnsi="宋体" w:cs="宋体"/>
          <w:b/>
          <w:color w:val="auto"/>
          <w:sz w:val="48"/>
          <w:szCs w:val="48"/>
          <w:highlight w:val="none"/>
          <w:u w:val="single"/>
        </w:rPr>
      </w:pPr>
      <w:r>
        <w:rPr>
          <w:rFonts w:hint="eastAsia" w:ascii="宋体" w:hAnsi="宋体" w:cs="宋体"/>
          <w:b/>
          <w:color w:val="auto"/>
          <w:sz w:val="48"/>
          <w:szCs w:val="48"/>
          <w:highlight w:val="none"/>
          <w:u w:val="single"/>
          <w:lang w:val="en-US" w:eastAsia="zh-CN"/>
        </w:rPr>
        <w:t>陕西省中医</w:t>
      </w:r>
      <w:r>
        <w:rPr>
          <w:rFonts w:hint="eastAsia" w:ascii="宋体" w:hAnsi="宋体" w:cs="宋体"/>
          <w:b/>
          <w:color w:val="auto"/>
          <w:sz w:val="48"/>
          <w:szCs w:val="48"/>
          <w:highlight w:val="none"/>
          <w:u w:val="single"/>
        </w:rPr>
        <w:t>医院</w:t>
      </w:r>
      <w:r>
        <w:rPr>
          <w:rFonts w:hint="eastAsia" w:ascii="宋体" w:hAnsi="宋体" w:cs="宋体"/>
          <w:b/>
          <w:color w:val="auto"/>
          <w:sz w:val="48"/>
          <w:szCs w:val="48"/>
          <w:highlight w:val="none"/>
          <w:u w:val="single"/>
          <w:lang w:val="en-US" w:eastAsia="zh-CN"/>
        </w:rPr>
        <w:t xml:space="preserve">       （</w:t>
      </w:r>
      <w:r>
        <w:rPr>
          <w:rFonts w:hint="eastAsia" w:ascii="宋体" w:hAnsi="宋体" w:cs="宋体"/>
          <w:b/>
          <w:color w:val="auto"/>
          <w:sz w:val="48"/>
          <w:szCs w:val="48"/>
          <w:highlight w:val="none"/>
          <w:u w:val="single"/>
        </w:rPr>
        <w:t>项目名称</w:t>
      </w:r>
      <w:r>
        <w:rPr>
          <w:rFonts w:hint="eastAsia" w:ascii="宋体" w:hAnsi="宋体" w:cs="宋体"/>
          <w:b/>
          <w:color w:val="auto"/>
          <w:sz w:val="48"/>
          <w:szCs w:val="48"/>
          <w:highlight w:val="none"/>
          <w:u w:val="single"/>
          <w:lang w:val="en-US" w:eastAsia="zh-CN"/>
        </w:rPr>
        <w:t>）</w:t>
      </w:r>
    </w:p>
    <w:p w14:paraId="06E3AEE5">
      <w:pPr>
        <w:jc w:val="center"/>
        <w:rPr>
          <w:rFonts w:hint="eastAsia" w:ascii="宋体" w:hAnsi="宋体" w:cs="宋体"/>
          <w:b/>
          <w:color w:val="auto"/>
          <w:sz w:val="48"/>
          <w:szCs w:val="48"/>
          <w:highlight w:val="none"/>
        </w:rPr>
      </w:pPr>
      <w:r>
        <w:rPr>
          <w:rFonts w:hint="eastAsia" w:ascii="宋体" w:hAnsi="宋体" w:cs="宋体"/>
          <w:b/>
          <w:color w:val="auto"/>
          <w:sz w:val="48"/>
          <w:szCs w:val="48"/>
          <w:highlight w:val="none"/>
        </w:rPr>
        <w:t>采购合同</w:t>
      </w:r>
    </w:p>
    <w:p w14:paraId="52CD1BCA">
      <w:pPr>
        <w:jc w:val="center"/>
        <w:rPr>
          <w:rFonts w:hint="eastAsia" w:ascii="宋体" w:hAnsi="宋体" w:cs="宋体"/>
          <w:color w:val="auto"/>
          <w:sz w:val="28"/>
          <w:szCs w:val="28"/>
          <w:highlight w:val="none"/>
        </w:rPr>
      </w:pPr>
    </w:p>
    <w:p w14:paraId="51F4E7A2">
      <w:pPr>
        <w:pStyle w:val="2"/>
        <w:rPr>
          <w:rFonts w:hint="eastAsia" w:ascii="宋体" w:hAnsi="宋体" w:cs="宋体"/>
          <w:color w:val="auto"/>
          <w:szCs w:val="28"/>
          <w:highlight w:val="none"/>
        </w:rPr>
      </w:pPr>
    </w:p>
    <w:p w14:paraId="31824E20">
      <w:pPr>
        <w:rPr>
          <w:rFonts w:hint="eastAsia" w:ascii="宋体" w:hAnsi="宋体" w:cs="宋体"/>
          <w:color w:val="auto"/>
          <w:sz w:val="28"/>
          <w:szCs w:val="28"/>
          <w:highlight w:val="none"/>
        </w:rPr>
      </w:pPr>
    </w:p>
    <w:p w14:paraId="1DB33CDF">
      <w:pPr>
        <w:pStyle w:val="2"/>
        <w:rPr>
          <w:rFonts w:hint="eastAsia" w:ascii="宋体" w:hAnsi="宋体" w:cs="宋体"/>
          <w:color w:val="auto"/>
          <w:szCs w:val="28"/>
          <w:highlight w:val="none"/>
        </w:rPr>
      </w:pPr>
    </w:p>
    <w:p w14:paraId="70270A0D">
      <w:pPr>
        <w:rPr>
          <w:rFonts w:hint="eastAsia" w:ascii="宋体" w:hAnsi="宋体" w:cs="宋体"/>
          <w:color w:val="auto"/>
          <w:sz w:val="28"/>
          <w:szCs w:val="28"/>
          <w:highlight w:val="none"/>
        </w:rPr>
      </w:pPr>
    </w:p>
    <w:p w14:paraId="13CCF2B8">
      <w:pPr>
        <w:pStyle w:val="2"/>
        <w:rPr>
          <w:rFonts w:hint="eastAsia" w:ascii="宋体" w:hAnsi="宋体" w:cs="宋体"/>
          <w:color w:val="auto"/>
          <w:szCs w:val="28"/>
          <w:highlight w:val="none"/>
        </w:rPr>
      </w:pPr>
    </w:p>
    <w:p w14:paraId="3483AD16">
      <w:pPr>
        <w:rPr>
          <w:rFonts w:hint="eastAsia" w:ascii="宋体" w:hAnsi="宋体" w:cs="宋体"/>
          <w:color w:val="auto"/>
          <w:sz w:val="28"/>
          <w:szCs w:val="28"/>
          <w:highlight w:val="none"/>
        </w:rPr>
      </w:pPr>
    </w:p>
    <w:p w14:paraId="3092EB04">
      <w:pPr>
        <w:pStyle w:val="2"/>
        <w:rPr>
          <w:rFonts w:hint="eastAsia"/>
          <w:color w:val="auto"/>
          <w:highlight w:val="none"/>
        </w:rPr>
      </w:pPr>
    </w:p>
    <w:p w14:paraId="7980A805">
      <w:pPr>
        <w:rPr>
          <w:rFonts w:hint="eastAsia"/>
          <w:color w:val="auto"/>
          <w:highlight w:val="none"/>
        </w:rPr>
      </w:pPr>
    </w:p>
    <w:p w14:paraId="3004F62D">
      <w:pPr>
        <w:pStyle w:val="2"/>
        <w:rPr>
          <w:rFonts w:hint="eastAsia"/>
          <w:color w:val="auto"/>
          <w:highlight w:val="none"/>
        </w:rPr>
      </w:pPr>
    </w:p>
    <w:p w14:paraId="3D94AD62">
      <w:pPr>
        <w:rPr>
          <w:rFonts w:hint="eastAsia"/>
          <w:color w:val="auto"/>
          <w:highlight w:val="none"/>
        </w:rPr>
      </w:pPr>
    </w:p>
    <w:p w14:paraId="7D63C32D">
      <w:pPr>
        <w:pStyle w:val="2"/>
        <w:rPr>
          <w:rFonts w:hint="eastAsia"/>
          <w:color w:val="auto"/>
          <w:highlight w:val="none"/>
        </w:rPr>
      </w:pPr>
    </w:p>
    <w:p w14:paraId="1A33F5C5">
      <w:pPr>
        <w:jc w:val="center"/>
        <w:rPr>
          <w:rFonts w:hint="eastAsia" w:ascii="宋体" w:hAnsi="宋体" w:cs="宋体"/>
          <w:color w:val="auto"/>
          <w:sz w:val="28"/>
          <w:szCs w:val="28"/>
          <w:highlight w:val="none"/>
        </w:rPr>
      </w:pPr>
    </w:p>
    <w:p w14:paraId="52982A2B">
      <w:pPr>
        <w:jc w:val="center"/>
        <w:rPr>
          <w:rFonts w:hint="eastAsia" w:ascii="宋体" w:hAnsi="宋体" w:cs="宋体"/>
          <w:color w:val="auto"/>
          <w:sz w:val="28"/>
          <w:szCs w:val="28"/>
          <w:highlight w:val="none"/>
        </w:rPr>
      </w:pPr>
    </w:p>
    <w:p w14:paraId="400C233F">
      <w:pPr>
        <w:jc w:val="center"/>
        <w:rPr>
          <w:rFonts w:hint="eastAsia" w:ascii="宋体" w:hAnsi="宋体" w:cs="宋体"/>
          <w:color w:val="auto"/>
          <w:sz w:val="28"/>
          <w:szCs w:val="28"/>
          <w:highlight w:val="none"/>
        </w:rPr>
      </w:pPr>
      <w:r>
        <w:rPr>
          <w:rFonts w:hint="eastAsia" w:ascii="宋体" w:hAnsi="宋体" w:cs="宋体"/>
          <w:color w:val="auto"/>
          <w:sz w:val="28"/>
          <w:szCs w:val="28"/>
          <w:highlight w:val="none"/>
        </w:rPr>
        <w:t>甲  方：</w:t>
      </w:r>
      <w:r>
        <w:rPr>
          <w:rFonts w:hint="eastAsia" w:ascii="宋体" w:hAnsi="宋体" w:cs="宋体"/>
          <w:color w:val="auto"/>
          <w:sz w:val="28"/>
          <w:szCs w:val="28"/>
          <w:highlight w:val="none"/>
          <w:lang w:val="en-US" w:eastAsia="zh-CN"/>
        </w:rPr>
        <w:t>陕西省中医</w:t>
      </w:r>
      <w:r>
        <w:rPr>
          <w:rFonts w:hint="eastAsia" w:ascii="宋体" w:hAnsi="宋体" w:cs="宋体"/>
          <w:color w:val="auto"/>
          <w:sz w:val="28"/>
          <w:szCs w:val="28"/>
          <w:highlight w:val="none"/>
        </w:rPr>
        <w:t>医院</w:t>
      </w:r>
    </w:p>
    <w:p w14:paraId="030D21E8">
      <w:pPr>
        <w:ind w:firstLine="2520" w:firstLineChars="900"/>
        <w:jc w:val="both"/>
        <w:rPr>
          <w:rFonts w:hint="eastAsia" w:ascii="宋体" w:hAnsi="宋体" w:cs="宋体"/>
          <w:color w:val="auto"/>
          <w:sz w:val="28"/>
          <w:szCs w:val="28"/>
          <w:highlight w:val="none"/>
        </w:rPr>
      </w:pPr>
      <w:r>
        <w:rPr>
          <w:rFonts w:hint="eastAsia" w:ascii="宋体" w:hAnsi="宋体" w:cs="宋体"/>
          <w:color w:val="auto"/>
          <w:sz w:val="28"/>
          <w:szCs w:val="28"/>
          <w:highlight w:val="none"/>
        </w:rPr>
        <w:t>乙  方：</w:t>
      </w:r>
    </w:p>
    <w:p w14:paraId="0D11F171">
      <w:pPr>
        <w:rPr>
          <w:rFonts w:hint="eastAsia" w:ascii="宋体" w:hAnsi="宋体" w:cs="宋体"/>
          <w:color w:val="auto"/>
          <w:sz w:val="28"/>
          <w:szCs w:val="28"/>
          <w:highlight w:val="none"/>
        </w:rPr>
      </w:pPr>
      <w:r>
        <w:rPr>
          <w:rFonts w:hint="eastAsia" w:ascii="宋体" w:hAnsi="宋体" w:cs="宋体"/>
          <w:color w:val="auto"/>
          <w:sz w:val="28"/>
          <w:szCs w:val="28"/>
          <w:highlight w:val="none"/>
        </w:rPr>
        <w:t xml:space="preserve"> </w:t>
      </w:r>
    </w:p>
    <w:p w14:paraId="0D39A694">
      <w:pPr>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u w:val="single"/>
        </w:rPr>
        <w:t>项目名称</w:t>
      </w:r>
      <w:r>
        <w:rPr>
          <w:rFonts w:hint="eastAsia" w:ascii="宋体" w:hAnsi="宋体" w:cs="宋体"/>
          <w:b/>
          <w:color w:val="auto"/>
          <w:sz w:val="36"/>
          <w:szCs w:val="36"/>
          <w:highlight w:val="none"/>
        </w:rPr>
        <w:t>采购合同</w:t>
      </w:r>
    </w:p>
    <w:p w14:paraId="2E7209BF">
      <w:pPr>
        <w:jc w:val="center"/>
        <w:rPr>
          <w:rFonts w:hint="eastAsia" w:ascii="宋体" w:hAnsi="宋体" w:cs="宋体"/>
          <w:bCs/>
          <w:color w:val="auto"/>
          <w:sz w:val="44"/>
          <w:szCs w:val="44"/>
          <w:highlight w:val="none"/>
        </w:rPr>
      </w:pPr>
    </w:p>
    <w:p w14:paraId="151B929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lang w:eastAsia="zh-CN"/>
        </w:rPr>
        <w:t>陕西省中医医院</w:t>
      </w:r>
      <w:r>
        <w:rPr>
          <w:rFonts w:hint="eastAsia" w:asciiTheme="minorEastAsia" w:hAnsiTheme="minorEastAsia" w:eastAsiaTheme="minorEastAsia" w:cstheme="minorEastAsia"/>
          <w:bCs/>
          <w:color w:val="auto"/>
          <w:sz w:val="21"/>
          <w:szCs w:val="21"/>
          <w:highlight w:val="none"/>
        </w:rPr>
        <w:t>（以下简称甲方）经院内集体采购，选定</w:t>
      </w:r>
      <w:r>
        <w:rPr>
          <w:rFonts w:hint="eastAsia" w:asciiTheme="minorEastAsia" w:hAnsiTheme="minorEastAsia" w:eastAsiaTheme="minorEastAsia" w:cstheme="minorEastAsia"/>
          <w:bCs/>
          <w:color w:val="auto"/>
          <w:sz w:val="21"/>
          <w:szCs w:val="21"/>
          <w:highlight w:val="none"/>
          <w:u w:val="single"/>
        </w:rPr>
        <w:t xml:space="preserve">        公司</w:t>
      </w:r>
      <w:r>
        <w:rPr>
          <w:rFonts w:hint="eastAsia" w:asciiTheme="minorEastAsia" w:hAnsiTheme="minorEastAsia" w:eastAsiaTheme="minorEastAsia" w:cstheme="minorEastAsia"/>
          <w:bCs/>
          <w:color w:val="auto"/>
          <w:sz w:val="21"/>
          <w:szCs w:val="21"/>
          <w:highlight w:val="none"/>
        </w:rPr>
        <w:t>（以下简称乙方）为</w:t>
      </w:r>
      <w:r>
        <w:rPr>
          <w:rFonts w:hint="eastAsia" w:asciiTheme="minorEastAsia" w:hAnsiTheme="minorEastAsia" w:eastAsiaTheme="minorEastAsia" w:cstheme="minorEastAsia"/>
          <w:bCs/>
          <w:color w:val="auto"/>
          <w:sz w:val="21"/>
          <w:szCs w:val="21"/>
          <w:highlight w:val="none"/>
          <w:u w:val="single"/>
        </w:rPr>
        <w:t>项目名称</w:t>
      </w:r>
      <w:r>
        <w:rPr>
          <w:rFonts w:hint="eastAsia" w:asciiTheme="minorEastAsia" w:hAnsiTheme="minorEastAsia" w:eastAsiaTheme="minorEastAsia" w:cstheme="minorEastAsia"/>
          <w:bCs/>
          <w:color w:val="auto"/>
          <w:sz w:val="21"/>
          <w:szCs w:val="21"/>
          <w:highlight w:val="none"/>
        </w:rPr>
        <w:t>项目成交单位。依据《中华人民共和国民法典》，经甲、乙双方共同协商，按下述条款和条件签署本合同。</w:t>
      </w:r>
    </w:p>
    <w:p w14:paraId="402AE246">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一、合同内容</w:t>
      </w:r>
    </w:p>
    <w:p w14:paraId="5B6EDE8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乙方负责按照合同及投标文件确定的设备名称、规格型号、数量、产地、配置内容及技术标准组织供货，按时运到甲方指定的交货地点；负责设备到货后的安装及系统调试，确保系统所有设备各项指标达到要求；负责操作和管理人员的培训工作，保证甲方能够正常操作和维护，同时乙方根据设备的使用特性做好售后服务。</w:t>
      </w:r>
    </w:p>
    <w:tbl>
      <w:tblPr>
        <w:tblStyle w:val="4"/>
        <w:tblW w:w="9353" w:type="dxa"/>
        <w:tblInd w:w="-5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5"/>
        <w:gridCol w:w="900"/>
        <w:gridCol w:w="900"/>
        <w:gridCol w:w="1200"/>
        <w:gridCol w:w="850"/>
        <w:gridCol w:w="850"/>
        <w:gridCol w:w="1316"/>
        <w:gridCol w:w="1902"/>
      </w:tblGrid>
      <w:tr w14:paraId="1704A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435" w:type="dxa"/>
            <w:noWrap w:val="0"/>
            <w:vAlign w:val="center"/>
          </w:tcPr>
          <w:p w14:paraId="3A33D4A7">
            <w:pPr>
              <w:tabs>
                <w:tab w:val="left" w:pos="810"/>
              </w:tabs>
              <w:spacing w:line="360" w:lineRule="auto"/>
              <w:jc w:val="center"/>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产品名称</w:t>
            </w:r>
          </w:p>
        </w:tc>
        <w:tc>
          <w:tcPr>
            <w:tcW w:w="900" w:type="dxa"/>
            <w:noWrap w:val="0"/>
            <w:vAlign w:val="center"/>
          </w:tcPr>
          <w:p w14:paraId="33A0608A">
            <w:pPr>
              <w:tabs>
                <w:tab w:val="left" w:pos="810"/>
              </w:tabs>
              <w:spacing w:line="360" w:lineRule="auto"/>
              <w:jc w:val="center"/>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型号</w:t>
            </w:r>
          </w:p>
        </w:tc>
        <w:tc>
          <w:tcPr>
            <w:tcW w:w="900" w:type="dxa"/>
            <w:noWrap w:val="0"/>
            <w:vAlign w:val="center"/>
          </w:tcPr>
          <w:p w14:paraId="2722AC54">
            <w:pPr>
              <w:tabs>
                <w:tab w:val="left" w:pos="810"/>
              </w:tabs>
              <w:spacing w:line="360" w:lineRule="auto"/>
              <w:jc w:val="center"/>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产地</w:t>
            </w:r>
          </w:p>
        </w:tc>
        <w:tc>
          <w:tcPr>
            <w:tcW w:w="1200" w:type="dxa"/>
            <w:noWrap w:val="0"/>
            <w:vAlign w:val="center"/>
          </w:tcPr>
          <w:p w14:paraId="5BB543E0">
            <w:pPr>
              <w:tabs>
                <w:tab w:val="left" w:pos="810"/>
              </w:tabs>
              <w:spacing w:line="360" w:lineRule="auto"/>
              <w:jc w:val="center"/>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品牌</w:t>
            </w:r>
          </w:p>
        </w:tc>
        <w:tc>
          <w:tcPr>
            <w:tcW w:w="850" w:type="dxa"/>
            <w:noWrap w:val="0"/>
            <w:vAlign w:val="center"/>
          </w:tcPr>
          <w:p w14:paraId="76B073C9">
            <w:pPr>
              <w:tabs>
                <w:tab w:val="left" w:pos="810"/>
              </w:tabs>
              <w:spacing w:line="360" w:lineRule="auto"/>
              <w:jc w:val="center"/>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单位</w:t>
            </w:r>
          </w:p>
        </w:tc>
        <w:tc>
          <w:tcPr>
            <w:tcW w:w="850" w:type="dxa"/>
            <w:noWrap w:val="0"/>
            <w:vAlign w:val="center"/>
          </w:tcPr>
          <w:p w14:paraId="04BBC2EE">
            <w:pPr>
              <w:tabs>
                <w:tab w:val="left" w:pos="810"/>
              </w:tabs>
              <w:spacing w:line="360" w:lineRule="auto"/>
              <w:jc w:val="center"/>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数量</w:t>
            </w:r>
          </w:p>
        </w:tc>
        <w:tc>
          <w:tcPr>
            <w:tcW w:w="1316" w:type="dxa"/>
            <w:noWrap w:val="0"/>
            <w:vAlign w:val="center"/>
          </w:tcPr>
          <w:p w14:paraId="5488F061">
            <w:pPr>
              <w:tabs>
                <w:tab w:val="left" w:pos="810"/>
              </w:tabs>
              <w:spacing w:line="360" w:lineRule="auto"/>
              <w:jc w:val="center"/>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单价</w:t>
            </w:r>
          </w:p>
          <w:p w14:paraId="736DBF3C">
            <w:pPr>
              <w:tabs>
                <w:tab w:val="left" w:pos="810"/>
              </w:tabs>
              <w:spacing w:line="360" w:lineRule="auto"/>
              <w:jc w:val="center"/>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（万元）</w:t>
            </w:r>
          </w:p>
        </w:tc>
        <w:tc>
          <w:tcPr>
            <w:tcW w:w="1902" w:type="dxa"/>
            <w:noWrap w:val="0"/>
            <w:vAlign w:val="center"/>
          </w:tcPr>
          <w:p w14:paraId="00FCCDC9">
            <w:pPr>
              <w:tabs>
                <w:tab w:val="left" w:pos="810"/>
              </w:tabs>
              <w:spacing w:line="360" w:lineRule="auto"/>
              <w:jc w:val="center"/>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合计</w:t>
            </w:r>
          </w:p>
          <w:p w14:paraId="227BA8C0">
            <w:pPr>
              <w:tabs>
                <w:tab w:val="left" w:pos="810"/>
              </w:tabs>
              <w:spacing w:line="360" w:lineRule="auto"/>
              <w:jc w:val="center"/>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（万元）</w:t>
            </w:r>
          </w:p>
        </w:tc>
      </w:tr>
      <w:tr w14:paraId="52105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35" w:type="dxa"/>
            <w:noWrap w:val="0"/>
            <w:vAlign w:val="center"/>
          </w:tcPr>
          <w:p w14:paraId="39AD15D8">
            <w:pPr>
              <w:spacing w:line="360" w:lineRule="auto"/>
              <w:jc w:val="center"/>
              <w:rPr>
                <w:rFonts w:hint="eastAsia" w:asciiTheme="minorEastAsia" w:hAnsiTheme="minorEastAsia" w:eastAsiaTheme="minorEastAsia" w:cstheme="minorEastAsia"/>
                <w:bCs/>
                <w:color w:val="auto"/>
                <w:sz w:val="21"/>
                <w:szCs w:val="21"/>
                <w:highlight w:val="none"/>
              </w:rPr>
            </w:pPr>
          </w:p>
        </w:tc>
        <w:tc>
          <w:tcPr>
            <w:tcW w:w="900" w:type="dxa"/>
            <w:noWrap w:val="0"/>
            <w:vAlign w:val="center"/>
          </w:tcPr>
          <w:p w14:paraId="39FA9DAA">
            <w:pPr>
              <w:spacing w:line="360" w:lineRule="auto"/>
              <w:jc w:val="center"/>
              <w:rPr>
                <w:rFonts w:hint="eastAsia" w:asciiTheme="minorEastAsia" w:hAnsiTheme="minorEastAsia" w:eastAsiaTheme="minorEastAsia" w:cstheme="minorEastAsia"/>
                <w:bCs/>
                <w:color w:val="auto"/>
                <w:sz w:val="21"/>
                <w:szCs w:val="21"/>
                <w:highlight w:val="none"/>
              </w:rPr>
            </w:pPr>
          </w:p>
        </w:tc>
        <w:tc>
          <w:tcPr>
            <w:tcW w:w="900" w:type="dxa"/>
            <w:noWrap w:val="0"/>
            <w:vAlign w:val="center"/>
          </w:tcPr>
          <w:p w14:paraId="54D1964D">
            <w:pPr>
              <w:spacing w:line="360" w:lineRule="auto"/>
              <w:jc w:val="center"/>
              <w:rPr>
                <w:rFonts w:hint="eastAsia" w:asciiTheme="minorEastAsia" w:hAnsiTheme="minorEastAsia" w:eastAsiaTheme="minorEastAsia" w:cstheme="minorEastAsia"/>
                <w:bCs/>
                <w:color w:val="auto"/>
                <w:sz w:val="21"/>
                <w:szCs w:val="21"/>
                <w:highlight w:val="none"/>
              </w:rPr>
            </w:pPr>
          </w:p>
        </w:tc>
        <w:tc>
          <w:tcPr>
            <w:tcW w:w="1200" w:type="dxa"/>
            <w:noWrap w:val="0"/>
            <w:vAlign w:val="center"/>
          </w:tcPr>
          <w:p w14:paraId="68F0E460">
            <w:pPr>
              <w:spacing w:line="360" w:lineRule="auto"/>
              <w:jc w:val="center"/>
              <w:rPr>
                <w:rFonts w:hint="eastAsia" w:asciiTheme="minorEastAsia" w:hAnsiTheme="minorEastAsia" w:eastAsiaTheme="minorEastAsia" w:cstheme="minorEastAsia"/>
                <w:bCs/>
                <w:color w:val="auto"/>
                <w:sz w:val="21"/>
                <w:szCs w:val="21"/>
                <w:highlight w:val="none"/>
              </w:rPr>
            </w:pPr>
          </w:p>
        </w:tc>
        <w:tc>
          <w:tcPr>
            <w:tcW w:w="850" w:type="dxa"/>
            <w:noWrap w:val="0"/>
            <w:vAlign w:val="center"/>
          </w:tcPr>
          <w:p w14:paraId="3A522AA3">
            <w:pPr>
              <w:spacing w:line="360" w:lineRule="auto"/>
              <w:jc w:val="center"/>
              <w:rPr>
                <w:rFonts w:hint="eastAsia" w:asciiTheme="minorEastAsia" w:hAnsiTheme="minorEastAsia" w:eastAsiaTheme="minorEastAsia" w:cstheme="minorEastAsia"/>
                <w:bCs/>
                <w:color w:val="auto"/>
                <w:sz w:val="21"/>
                <w:szCs w:val="21"/>
                <w:highlight w:val="none"/>
              </w:rPr>
            </w:pPr>
          </w:p>
        </w:tc>
        <w:tc>
          <w:tcPr>
            <w:tcW w:w="850" w:type="dxa"/>
            <w:noWrap w:val="0"/>
            <w:vAlign w:val="center"/>
          </w:tcPr>
          <w:p w14:paraId="21009855">
            <w:pPr>
              <w:spacing w:line="360" w:lineRule="auto"/>
              <w:jc w:val="center"/>
              <w:rPr>
                <w:rFonts w:hint="eastAsia" w:asciiTheme="minorEastAsia" w:hAnsiTheme="minorEastAsia" w:eastAsiaTheme="minorEastAsia" w:cstheme="minorEastAsia"/>
                <w:bCs/>
                <w:color w:val="auto"/>
                <w:sz w:val="21"/>
                <w:szCs w:val="21"/>
                <w:highlight w:val="none"/>
              </w:rPr>
            </w:pPr>
          </w:p>
        </w:tc>
        <w:tc>
          <w:tcPr>
            <w:tcW w:w="1316" w:type="dxa"/>
            <w:noWrap w:val="0"/>
            <w:vAlign w:val="center"/>
          </w:tcPr>
          <w:p w14:paraId="0692A504">
            <w:pPr>
              <w:spacing w:line="360" w:lineRule="auto"/>
              <w:jc w:val="center"/>
              <w:rPr>
                <w:rFonts w:hint="eastAsia" w:asciiTheme="minorEastAsia" w:hAnsiTheme="minorEastAsia" w:eastAsiaTheme="minorEastAsia" w:cstheme="minorEastAsia"/>
                <w:bCs/>
                <w:color w:val="auto"/>
                <w:sz w:val="21"/>
                <w:szCs w:val="21"/>
                <w:highlight w:val="none"/>
              </w:rPr>
            </w:pPr>
          </w:p>
        </w:tc>
        <w:tc>
          <w:tcPr>
            <w:tcW w:w="1902" w:type="dxa"/>
            <w:noWrap w:val="0"/>
            <w:vAlign w:val="center"/>
          </w:tcPr>
          <w:p w14:paraId="341EE2F2">
            <w:pPr>
              <w:spacing w:line="360" w:lineRule="auto"/>
              <w:jc w:val="center"/>
              <w:rPr>
                <w:rFonts w:hint="eastAsia" w:asciiTheme="minorEastAsia" w:hAnsiTheme="minorEastAsia" w:eastAsiaTheme="minorEastAsia" w:cstheme="minorEastAsia"/>
                <w:bCs/>
                <w:color w:val="auto"/>
                <w:sz w:val="21"/>
                <w:szCs w:val="21"/>
                <w:highlight w:val="none"/>
              </w:rPr>
            </w:pPr>
          </w:p>
        </w:tc>
      </w:tr>
      <w:tr w14:paraId="767F9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353" w:type="dxa"/>
            <w:gridSpan w:val="8"/>
            <w:noWrap w:val="0"/>
            <w:vAlign w:val="center"/>
          </w:tcPr>
          <w:p w14:paraId="5F1F3795">
            <w:pPr>
              <w:spacing w:line="360" w:lineRule="auto"/>
              <w:ind w:left="420" w:leftChars="200"/>
              <w:jc w:val="left"/>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 xml:space="preserve">                总金额：</w:t>
            </w:r>
            <w:r>
              <w:rPr>
                <w:rFonts w:hint="eastAsia" w:asciiTheme="minorEastAsia" w:hAnsiTheme="minorEastAsia" w:eastAsiaTheme="minorEastAsia" w:cstheme="minorEastAsia"/>
                <w:color w:val="auto"/>
                <w:sz w:val="21"/>
                <w:szCs w:val="21"/>
                <w:highlight w:val="none"/>
              </w:rPr>
              <w:t>人民币</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万元整（¥</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 xml:space="preserve">万元）      </w:t>
            </w:r>
          </w:p>
        </w:tc>
      </w:tr>
    </w:tbl>
    <w:p w14:paraId="4D1480E4">
      <w:pPr>
        <w:keepNext w:val="0"/>
        <w:keepLines w:val="0"/>
        <w:pageBreakBefore w:val="0"/>
        <w:kinsoku/>
        <w:wordWrap/>
        <w:overflowPunct/>
        <w:topLinePunct w:val="0"/>
        <w:autoSpaceDE/>
        <w:autoSpaceDN/>
        <w:bidi w:val="0"/>
        <w:adjustRightInd/>
        <w:snapToGrid/>
        <w:spacing w:line="360" w:lineRule="auto"/>
        <w:ind w:firstLine="422" w:firstLineChars="200"/>
        <w:jc w:val="left"/>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二、合同价格</w:t>
      </w:r>
    </w:p>
    <w:p w14:paraId="11C76A9F">
      <w:pPr>
        <w:keepNext w:val="0"/>
        <w:keepLines w:val="0"/>
        <w:pageBreakBefore w:val="0"/>
        <w:kinsoku/>
        <w:wordWrap/>
        <w:overflowPunct/>
        <w:topLinePunct w:val="0"/>
        <w:autoSpaceDE/>
        <w:autoSpaceDN/>
        <w:bidi w:val="0"/>
        <w:adjustRightInd/>
        <w:snapToGrid/>
        <w:spacing w:line="360" w:lineRule="auto"/>
        <w:ind w:left="420" w:leftChars="200"/>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合同总价：</w:t>
      </w:r>
      <w:r>
        <w:rPr>
          <w:rFonts w:hint="eastAsia" w:asciiTheme="minorEastAsia" w:hAnsiTheme="minorEastAsia" w:eastAsiaTheme="minorEastAsia" w:cstheme="minorEastAsia"/>
          <w:color w:val="auto"/>
          <w:sz w:val="21"/>
          <w:szCs w:val="21"/>
          <w:highlight w:val="none"/>
          <w:u w:val="single"/>
        </w:rPr>
        <w:t>人民币</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u w:val="single"/>
        </w:rPr>
        <w:t>万元整（¥     万元）。</w:t>
      </w:r>
    </w:p>
    <w:p w14:paraId="5F236693">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说明：</w:t>
      </w:r>
    </w:p>
    <w:p w14:paraId="69C72C30">
      <w:pPr>
        <w:keepNext w:val="0"/>
        <w:keepLines w:val="0"/>
        <w:pageBreakBefore w:val="0"/>
        <w:numPr>
          <w:ilvl w:val="0"/>
          <w:numId w:val="1"/>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合同总价包含设备费、设备到达西安交货地点的运杂费（含保险）、设备安装调试费、设备强制计量检测费及应缴纳的全部税款等费用，甲方无须为此项目支付任何其他费用。</w:t>
      </w:r>
    </w:p>
    <w:p w14:paraId="17839C8D">
      <w:pPr>
        <w:keepNext w:val="0"/>
        <w:keepLines w:val="0"/>
        <w:pageBreakBefore w:val="0"/>
        <w:numPr>
          <w:ilvl w:val="0"/>
          <w:numId w:val="1"/>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合同总价一次包死，不受市场价格变化的影响，并作为结算的唯一依据。</w:t>
      </w:r>
    </w:p>
    <w:p w14:paraId="4272B05E">
      <w:pPr>
        <w:keepNext w:val="0"/>
        <w:keepLines w:val="0"/>
        <w:pageBreakBefore w:val="0"/>
        <w:kinsoku/>
        <w:wordWrap/>
        <w:overflowPunct/>
        <w:topLinePunct w:val="0"/>
        <w:autoSpaceDE/>
        <w:autoSpaceDN/>
        <w:bidi w:val="0"/>
        <w:adjustRightInd/>
        <w:snapToGrid/>
        <w:spacing w:line="360" w:lineRule="auto"/>
        <w:ind w:firstLine="422" w:firstLineChars="200"/>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b/>
          <w:color w:val="auto"/>
          <w:sz w:val="21"/>
          <w:szCs w:val="21"/>
          <w:highlight w:val="none"/>
        </w:rPr>
        <w:t>三、合同款项支付</w:t>
      </w:r>
      <w:r>
        <w:rPr>
          <w:rFonts w:hint="eastAsia" w:asciiTheme="minorEastAsia" w:hAnsiTheme="minorEastAsia" w:eastAsiaTheme="minorEastAsia" w:cstheme="minorEastAsia"/>
          <w:color w:val="auto"/>
          <w:sz w:val="21"/>
          <w:szCs w:val="21"/>
          <w:highlight w:val="none"/>
        </w:rPr>
        <w:t>。</w:t>
      </w:r>
    </w:p>
    <w:p w14:paraId="472DDB3C">
      <w:pPr>
        <w:keepNext w:val="0"/>
        <w:keepLines w:val="0"/>
        <w:pageBreakBefore w:val="0"/>
        <w:kinsoku/>
        <w:wordWrap/>
        <w:overflowPunct/>
        <w:topLinePunct w:val="0"/>
        <w:autoSpaceDE/>
        <w:autoSpaceDN/>
        <w:bidi w:val="0"/>
        <w:adjustRightInd/>
        <w:snapToGrid/>
        <w:spacing w:line="360" w:lineRule="auto"/>
        <w:ind w:firstLine="422" w:firstLineChars="20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（一）付款方式及结算要求</w:t>
      </w:r>
    </w:p>
    <w:p w14:paraId="41517221">
      <w:pPr>
        <w:pStyle w:val="6"/>
        <w:keepNext w:val="0"/>
        <w:keepLines w:val="0"/>
        <w:pageBreakBefore w:val="0"/>
        <w:kinsoku/>
        <w:wordWrap/>
        <w:overflowPunct/>
        <w:topLinePunct w:val="0"/>
        <w:autoSpaceDE/>
        <w:autoSpaceDN/>
        <w:bidi w:val="0"/>
        <w:adjustRightInd/>
        <w:snapToGrid/>
        <w:spacing w:line="360" w:lineRule="auto"/>
        <w:ind w:firstLine="632" w:firstLineChars="30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1．付款方式：分期付款：</w:t>
      </w:r>
      <w:r>
        <w:rPr>
          <w:rFonts w:hint="eastAsia" w:asciiTheme="minorEastAsia" w:hAnsiTheme="minorEastAsia" w:eastAsiaTheme="minorEastAsia" w:cstheme="minorEastAsia"/>
          <w:color w:val="auto"/>
          <w:sz w:val="21"/>
          <w:szCs w:val="21"/>
          <w:highlight w:val="none"/>
        </w:rPr>
        <w:t>本项目通过初步验收后30日，中标人提供合同总金额正式发票，达到付款条件起30日，支付合同总金额的60.00%。本项目终验通过后30日，中标人提供相应正式收据，达到付款条件起30日，支付合同总金额的30.00%。项目终验合格之日起，稳定运行12个月后，中标人提供相应正式收据，达到付款条件起30 日，支付合同总金额的10.00%。</w:t>
      </w:r>
    </w:p>
    <w:p w14:paraId="33E6EBE1">
      <w:pPr>
        <w:keepNext w:val="0"/>
        <w:keepLines w:val="0"/>
        <w:pageBreakBefore w:val="0"/>
        <w:kinsoku/>
        <w:wordWrap/>
        <w:overflowPunct/>
        <w:topLinePunct w:val="0"/>
        <w:autoSpaceDE/>
        <w:autoSpaceDN/>
        <w:bidi w:val="0"/>
        <w:adjustRightInd/>
        <w:snapToGrid/>
        <w:spacing w:line="360" w:lineRule="auto"/>
        <w:ind w:firstLine="422" w:firstLineChars="200"/>
        <w:jc w:val="left"/>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2.支付方式：银行转帐</w:t>
      </w:r>
      <w:r>
        <w:rPr>
          <w:rFonts w:hint="eastAsia" w:asciiTheme="minorEastAsia" w:hAnsiTheme="minorEastAsia" w:cstheme="minorEastAsia"/>
          <w:b/>
          <w:color w:val="auto"/>
          <w:sz w:val="21"/>
          <w:szCs w:val="21"/>
          <w:highlight w:val="none"/>
          <w:lang w:eastAsia="zh-CN"/>
        </w:rPr>
        <w:t>。</w:t>
      </w:r>
    </w:p>
    <w:p w14:paraId="2F8DE24B">
      <w:pPr>
        <w:keepNext w:val="0"/>
        <w:keepLines w:val="0"/>
        <w:pageBreakBefore w:val="0"/>
        <w:kinsoku/>
        <w:wordWrap/>
        <w:overflowPunct/>
        <w:topLinePunct w:val="0"/>
        <w:autoSpaceDE/>
        <w:autoSpaceDN/>
        <w:bidi w:val="0"/>
        <w:adjustRightInd/>
        <w:snapToGrid/>
        <w:spacing w:line="360" w:lineRule="auto"/>
        <w:ind w:firstLine="422" w:firstLineChars="200"/>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b/>
          <w:color w:val="auto"/>
          <w:sz w:val="21"/>
          <w:szCs w:val="21"/>
          <w:highlight w:val="none"/>
        </w:rPr>
        <w:t>3.结算要求：必须在验收合格后，一次性开具合同全款增值税发票。</w:t>
      </w:r>
    </w:p>
    <w:p w14:paraId="5F77C0DF">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（二）由于乙方的原因未能按时供货的，每延迟一天（不足一天按一天计算）乙方需支付甲方合同约定总额0.2%/天的违约金；如超过供货期30天，甲方将</w:t>
      </w:r>
      <w:r>
        <w:rPr>
          <w:rFonts w:hint="eastAsia" w:asciiTheme="minorEastAsia" w:hAnsiTheme="minorEastAsia" w:cstheme="minorEastAsia"/>
          <w:color w:val="auto"/>
          <w:sz w:val="21"/>
          <w:szCs w:val="21"/>
          <w:highlight w:val="none"/>
          <w:lang w:val="en-US" w:eastAsia="zh-CN"/>
        </w:rPr>
        <w:t>解除</w:t>
      </w:r>
      <w:r>
        <w:rPr>
          <w:rFonts w:hint="eastAsia" w:asciiTheme="minorEastAsia" w:hAnsiTheme="minorEastAsia" w:eastAsiaTheme="minorEastAsia" w:cstheme="minorEastAsia"/>
          <w:color w:val="auto"/>
          <w:sz w:val="21"/>
          <w:szCs w:val="21"/>
          <w:highlight w:val="none"/>
        </w:rPr>
        <w:t>合同并通过法律程序对乙方</w:t>
      </w:r>
      <w:r>
        <w:rPr>
          <w:rFonts w:hint="eastAsia" w:asciiTheme="minorEastAsia" w:hAnsiTheme="minorEastAsia" w:cstheme="minorEastAsia"/>
          <w:color w:val="auto"/>
          <w:sz w:val="21"/>
          <w:szCs w:val="21"/>
          <w:highlight w:val="none"/>
          <w:lang w:val="en-US" w:eastAsia="zh-CN"/>
        </w:rPr>
        <w:t>追究违约金，直接赔偿损失</w:t>
      </w:r>
      <w:r>
        <w:rPr>
          <w:rFonts w:hint="eastAsia" w:asciiTheme="minorEastAsia" w:hAnsiTheme="minorEastAsia" w:eastAsiaTheme="minorEastAsia" w:cstheme="minorEastAsia"/>
          <w:color w:val="auto"/>
          <w:sz w:val="21"/>
          <w:szCs w:val="21"/>
          <w:highlight w:val="none"/>
        </w:rPr>
        <w:t>。</w:t>
      </w:r>
    </w:p>
    <w:p w14:paraId="2EF66F14">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三）由于乙方的原因，在货到一周内未进行安装调试，或安装调试时间超过正常要求，按每超过一天（不足一天按一天计算）乙方需支付甲方合同约定总额0.2%/天的违约金。情节严重者，甲方将依法律程序对乙方进行索赔。</w:t>
      </w:r>
    </w:p>
    <w:p w14:paraId="5D24F09B">
      <w:pPr>
        <w:keepNext w:val="0"/>
        <w:keepLines w:val="0"/>
        <w:pageBreakBefore w:val="0"/>
        <w:kinsoku/>
        <w:wordWrap/>
        <w:overflowPunct/>
        <w:topLinePunct w:val="0"/>
        <w:autoSpaceDE/>
        <w:autoSpaceDN/>
        <w:bidi w:val="0"/>
        <w:adjustRightInd/>
        <w:snapToGrid/>
        <w:spacing w:line="360" w:lineRule="auto"/>
        <w:ind w:firstLine="422" w:firstLineChars="200"/>
        <w:jc w:val="left"/>
        <w:textAlignment w:val="auto"/>
        <w:rPr>
          <w:rFonts w:hint="eastAsia" w:asciiTheme="minorEastAsia" w:hAnsiTheme="minorEastAsia" w:eastAsiaTheme="minorEastAsia" w:cstheme="minorEastAsia"/>
          <w:b/>
          <w:color w:val="auto"/>
          <w:sz w:val="21"/>
          <w:szCs w:val="21"/>
          <w:highlight w:val="none"/>
          <w:lang w:val="en-US" w:eastAsia="zh-CN"/>
        </w:rPr>
      </w:pPr>
      <w:r>
        <w:rPr>
          <w:rFonts w:hint="eastAsia" w:asciiTheme="minorEastAsia" w:hAnsiTheme="minorEastAsia" w:eastAsiaTheme="minorEastAsia" w:cstheme="minorEastAsia"/>
          <w:b/>
          <w:color w:val="auto"/>
          <w:sz w:val="21"/>
          <w:szCs w:val="21"/>
          <w:highlight w:val="none"/>
        </w:rPr>
        <w:t>四、</w:t>
      </w:r>
      <w:r>
        <w:rPr>
          <w:rFonts w:hint="eastAsia" w:asciiTheme="minorEastAsia" w:hAnsiTheme="minorEastAsia" w:eastAsiaTheme="minorEastAsia" w:cstheme="minorEastAsia"/>
          <w:b/>
          <w:color w:val="auto"/>
          <w:sz w:val="21"/>
          <w:szCs w:val="21"/>
          <w:highlight w:val="none"/>
          <w:lang w:val="en-US" w:eastAsia="zh-CN"/>
        </w:rPr>
        <w:t>项目工期及地点</w:t>
      </w:r>
    </w:p>
    <w:p w14:paraId="1DF603C5">
      <w:pPr>
        <w:pStyle w:val="6"/>
        <w:keepNext w:val="0"/>
        <w:keepLines w:val="0"/>
        <w:pageBreakBefore w:val="0"/>
        <w:kinsoku/>
        <w:wordWrap/>
        <w:overflowPunct/>
        <w:topLinePunct w:val="0"/>
        <w:autoSpaceDE/>
        <w:autoSpaceDN/>
        <w:bidi w:val="0"/>
        <w:adjustRightInd/>
        <w:snapToGrid/>
        <w:spacing w:line="360" w:lineRule="auto"/>
        <w:ind w:firstLine="422"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b/>
          <w:color w:val="auto"/>
          <w:sz w:val="21"/>
          <w:szCs w:val="21"/>
          <w:highlight w:val="none"/>
          <w:lang w:eastAsia="zh-CN"/>
        </w:rPr>
        <w:t>（</w:t>
      </w:r>
      <w:r>
        <w:rPr>
          <w:rFonts w:hint="eastAsia" w:asciiTheme="minorEastAsia" w:hAnsiTheme="minorEastAsia" w:eastAsiaTheme="minorEastAsia" w:cstheme="minorEastAsia"/>
          <w:b/>
          <w:color w:val="auto"/>
          <w:sz w:val="21"/>
          <w:szCs w:val="21"/>
          <w:highlight w:val="none"/>
          <w:lang w:val="en-US" w:eastAsia="zh-CN"/>
        </w:rPr>
        <w:t>一</w:t>
      </w:r>
      <w:r>
        <w:rPr>
          <w:rFonts w:hint="eastAsia" w:asciiTheme="minorEastAsia" w:hAnsiTheme="minorEastAsia" w:eastAsiaTheme="minorEastAsia" w:cstheme="minorEastAsia"/>
          <w:b/>
          <w:color w:val="auto"/>
          <w:sz w:val="21"/>
          <w:szCs w:val="21"/>
          <w:highlight w:val="none"/>
          <w:lang w:eastAsia="zh-CN"/>
        </w:rPr>
        <w:t>）</w:t>
      </w:r>
      <w:r>
        <w:rPr>
          <w:rFonts w:hint="eastAsia" w:asciiTheme="minorEastAsia" w:hAnsiTheme="minorEastAsia" w:eastAsiaTheme="minorEastAsia" w:cstheme="minorEastAsia"/>
          <w:b/>
          <w:color w:val="auto"/>
          <w:sz w:val="21"/>
          <w:szCs w:val="21"/>
          <w:highlight w:val="none"/>
        </w:rPr>
        <w:t>项目工期</w:t>
      </w:r>
      <w:r>
        <w:rPr>
          <w:rFonts w:hint="eastAsia" w:asciiTheme="minorEastAsia" w:hAnsiTheme="minorEastAsia" w:eastAsiaTheme="minorEastAsia" w:cstheme="minorEastAsia"/>
          <w:b/>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4个月。本项目为交钥匙工程，中标人签订合同后1个月内完成项目初步验收，4个月内完成项目验收。</w:t>
      </w:r>
    </w:p>
    <w:p w14:paraId="5ACBF550">
      <w:pPr>
        <w:pStyle w:val="6"/>
        <w:keepNext w:val="0"/>
        <w:keepLines w:val="0"/>
        <w:pageBreakBefore w:val="0"/>
        <w:kinsoku/>
        <w:wordWrap/>
        <w:overflowPunct/>
        <w:topLinePunct w:val="0"/>
        <w:autoSpaceDE/>
        <w:autoSpaceDN/>
        <w:bidi w:val="0"/>
        <w:adjustRightInd/>
        <w:snapToGrid/>
        <w:spacing w:line="360" w:lineRule="auto"/>
        <w:ind w:firstLine="422" w:firstLineChars="200"/>
        <w:textAlignment w:val="auto"/>
        <w:outlineLvl w:val="3"/>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b/>
          <w:color w:val="auto"/>
          <w:sz w:val="21"/>
          <w:szCs w:val="21"/>
          <w:highlight w:val="none"/>
        </w:rPr>
        <w:t>（二）交货地点</w:t>
      </w:r>
      <w:r>
        <w:rPr>
          <w:rFonts w:hint="eastAsia" w:asciiTheme="minorEastAsia" w:hAnsiTheme="minorEastAsia" w:eastAsiaTheme="minorEastAsia" w:cstheme="minorEastAsia"/>
          <w:b/>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陕西省中医医院</w:t>
      </w:r>
      <w:r>
        <w:rPr>
          <w:rFonts w:hint="eastAsia" w:asciiTheme="minorEastAsia" w:hAnsiTheme="minorEastAsia" w:eastAsiaTheme="minorEastAsia" w:cstheme="minorEastAsia"/>
          <w:color w:val="auto"/>
          <w:sz w:val="21"/>
          <w:szCs w:val="21"/>
          <w:highlight w:val="none"/>
          <w:lang w:val="en-US" w:eastAsia="zh-CN"/>
        </w:rPr>
        <w:t>指定地点</w:t>
      </w:r>
    </w:p>
    <w:p w14:paraId="41C6BA6F">
      <w:pPr>
        <w:pStyle w:val="6"/>
        <w:keepNext w:val="0"/>
        <w:keepLines w:val="0"/>
        <w:pageBreakBefore w:val="0"/>
        <w:kinsoku/>
        <w:wordWrap/>
        <w:overflowPunct/>
        <w:topLinePunct w:val="0"/>
        <w:autoSpaceDE/>
        <w:autoSpaceDN/>
        <w:bidi w:val="0"/>
        <w:adjustRightInd/>
        <w:snapToGrid/>
        <w:spacing w:line="360" w:lineRule="auto"/>
        <w:ind w:firstLine="422" w:firstLineChars="200"/>
        <w:textAlignment w:val="auto"/>
        <w:outlineLvl w:val="3"/>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b/>
          <w:color w:val="auto"/>
          <w:sz w:val="21"/>
          <w:szCs w:val="21"/>
          <w:highlight w:val="none"/>
        </w:rPr>
        <w:t>五</w:t>
      </w:r>
      <w:r>
        <w:rPr>
          <w:rFonts w:hint="eastAsia" w:asciiTheme="minorEastAsia" w:hAnsiTheme="minorEastAsia" w:eastAsiaTheme="minorEastAsia" w:cstheme="minorEastAsia"/>
          <w:b/>
          <w:color w:val="auto"/>
          <w:sz w:val="21"/>
          <w:szCs w:val="21"/>
          <w:highlight w:val="none"/>
          <w:lang w:eastAsia="zh-CN"/>
        </w:rPr>
        <w:t>、</w:t>
      </w:r>
      <w:r>
        <w:rPr>
          <w:rFonts w:hint="eastAsia" w:asciiTheme="minorEastAsia" w:hAnsiTheme="minorEastAsia" w:eastAsiaTheme="minorEastAsia" w:cstheme="minorEastAsia"/>
          <w:b/>
          <w:color w:val="auto"/>
          <w:sz w:val="21"/>
          <w:szCs w:val="21"/>
          <w:highlight w:val="none"/>
        </w:rPr>
        <w:t>验收标准和方法</w:t>
      </w:r>
    </w:p>
    <w:p w14:paraId="5E12DCEB">
      <w:pPr>
        <w:pStyle w:val="6"/>
        <w:keepNext w:val="0"/>
        <w:keepLines w:val="0"/>
        <w:pageBreakBefore w:val="0"/>
        <w:kinsoku/>
        <w:wordWrap/>
        <w:overflowPunct/>
        <w:topLinePunct w:val="0"/>
        <w:autoSpaceDE/>
        <w:autoSpaceDN/>
        <w:bidi w:val="0"/>
        <w:adjustRightInd/>
        <w:snapToGrid/>
        <w:spacing w:line="360" w:lineRule="auto"/>
        <w:ind w:firstLine="420" w:firstLineChars="200"/>
        <w:textAlignment w:val="auto"/>
        <w:outlineLvl w:val="3"/>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本项目采购人将严格按照政府采购相关法律法规以及《财政部关于进一步加强政府采购需求和履约验收管理的指导意见》（财库[2016]205号）的要求进行验收。</w:t>
      </w:r>
    </w:p>
    <w:p w14:paraId="454C9E5E">
      <w:pPr>
        <w:pStyle w:val="6"/>
        <w:keepNext w:val="0"/>
        <w:keepLines w:val="0"/>
        <w:pageBreakBefore w:val="0"/>
        <w:kinsoku/>
        <w:wordWrap/>
        <w:overflowPunct/>
        <w:topLinePunct w:val="0"/>
        <w:autoSpaceDE/>
        <w:autoSpaceDN/>
        <w:bidi w:val="0"/>
        <w:adjustRightInd/>
        <w:snapToGrid/>
        <w:spacing w:line="360" w:lineRule="auto"/>
        <w:ind w:firstLine="420" w:firstLineChars="200"/>
        <w:textAlignment w:val="auto"/>
        <w:outlineLvl w:val="3"/>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验收结果合格的，投标人凭验收报告办理相关手续；验收结果不合格的，将不予支付采购资金，同时报告本项目同级财政部门按照政府采购法律法规有关规定给予行政处罚或者以失信行为记入诚信档案。 甲乙双方如对质量要求和技术指标的约定标准有相互抵触或异议的事项，由甲方在招标与投标文件中按质量要求和技术指标比较优胜的原则确定该项的约定标准进行验收。 验收时如发现所交付的货物有次品、损坏或其它不符合标准及本合同规定之情形者，视情况甲方可拒绝验收、要求退换、或做出详尽的现场记录，或由甲乙双方签署备忘录，此现场记录或备忘录，包括但不限于现场照片、录像等证据单可用作补充、缺失和更换损坏部件的有效证据，由此产生的时间延误与有关费用由乙方承担，验收期限相应顺延；如最终质量验收合格，双方签署质量验收报告。</w:t>
      </w:r>
    </w:p>
    <w:p w14:paraId="13DD531D">
      <w:pPr>
        <w:pStyle w:val="6"/>
        <w:keepNext w:val="0"/>
        <w:keepLines w:val="0"/>
        <w:pageBreakBefore w:val="0"/>
        <w:kinsoku/>
        <w:wordWrap/>
        <w:overflowPunct/>
        <w:topLinePunct w:val="0"/>
        <w:autoSpaceDE/>
        <w:autoSpaceDN/>
        <w:bidi w:val="0"/>
        <w:adjustRightInd/>
        <w:snapToGrid/>
        <w:spacing w:line="360" w:lineRule="auto"/>
        <w:ind w:firstLine="422" w:firstLineChars="200"/>
        <w:textAlignment w:val="auto"/>
        <w:outlineLvl w:val="3"/>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b/>
          <w:color w:val="auto"/>
          <w:sz w:val="21"/>
          <w:szCs w:val="21"/>
          <w:highlight w:val="none"/>
        </w:rPr>
        <w:t>六</w:t>
      </w:r>
      <w:r>
        <w:rPr>
          <w:rFonts w:hint="eastAsia" w:asciiTheme="minorEastAsia" w:hAnsiTheme="minorEastAsia" w:eastAsiaTheme="minorEastAsia" w:cstheme="minorEastAsia"/>
          <w:b/>
          <w:color w:val="auto"/>
          <w:sz w:val="21"/>
          <w:szCs w:val="21"/>
          <w:highlight w:val="none"/>
          <w:lang w:eastAsia="zh-CN"/>
        </w:rPr>
        <w:t>、</w:t>
      </w:r>
      <w:r>
        <w:rPr>
          <w:rFonts w:hint="eastAsia" w:asciiTheme="minorEastAsia" w:hAnsiTheme="minorEastAsia" w:eastAsiaTheme="minorEastAsia" w:cstheme="minorEastAsia"/>
          <w:b/>
          <w:color w:val="auto"/>
          <w:sz w:val="21"/>
          <w:szCs w:val="21"/>
          <w:highlight w:val="none"/>
        </w:rPr>
        <w:t>包装方式及运输</w:t>
      </w:r>
    </w:p>
    <w:p w14:paraId="353C7597">
      <w:pPr>
        <w:pStyle w:val="6"/>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0627040F">
      <w:pPr>
        <w:pStyle w:val="6"/>
        <w:keepNext w:val="0"/>
        <w:keepLines w:val="0"/>
        <w:pageBreakBefore w:val="0"/>
        <w:widowControl/>
        <w:kinsoku/>
        <w:wordWrap/>
        <w:overflowPunct/>
        <w:topLinePunct w:val="0"/>
        <w:autoSpaceDE/>
        <w:autoSpaceDN/>
        <w:bidi w:val="0"/>
        <w:adjustRightInd/>
        <w:snapToGrid/>
        <w:spacing w:line="360" w:lineRule="auto"/>
        <w:ind w:firstLine="422" w:firstLineChars="200"/>
        <w:textAlignment w:val="auto"/>
        <w:outlineLvl w:val="3"/>
        <w:rPr>
          <w:rFonts w:hint="eastAsia" w:ascii="宋体" w:hAnsi="宋体" w:eastAsia="宋体" w:cs="宋体"/>
          <w:color w:val="auto"/>
          <w:sz w:val="21"/>
          <w:szCs w:val="21"/>
          <w:highlight w:val="none"/>
        </w:rPr>
      </w:pPr>
      <w:r>
        <w:rPr>
          <w:rFonts w:hint="eastAsia" w:asciiTheme="minorEastAsia" w:hAnsiTheme="minorEastAsia" w:eastAsiaTheme="minorEastAsia" w:cstheme="minorEastAsia"/>
          <w:b/>
          <w:bCs w:val="0"/>
          <w:color w:val="auto"/>
          <w:sz w:val="21"/>
          <w:szCs w:val="21"/>
          <w:highlight w:val="none"/>
        </w:rPr>
        <w:t>七</w:t>
      </w:r>
      <w:r>
        <w:rPr>
          <w:rFonts w:hint="eastAsia" w:asciiTheme="minorEastAsia" w:hAnsiTheme="minorEastAsia" w:eastAsiaTheme="minorEastAsia" w:cstheme="minorEastAsia"/>
          <w:b/>
          <w:bCs w:val="0"/>
          <w:color w:val="auto"/>
          <w:sz w:val="21"/>
          <w:szCs w:val="21"/>
          <w:highlight w:val="none"/>
          <w:lang w:eastAsia="zh-CN"/>
        </w:rPr>
        <w:t>、</w:t>
      </w:r>
      <w:r>
        <w:rPr>
          <w:rFonts w:hint="eastAsia" w:ascii="宋体" w:hAnsi="宋体" w:eastAsia="宋体" w:cs="宋体"/>
          <w:b/>
          <w:color w:val="auto"/>
          <w:sz w:val="21"/>
          <w:szCs w:val="21"/>
          <w:highlight w:val="none"/>
        </w:rPr>
        <w:t>质量保修范围和保修期</w:t>
      </w:r>
    </w:p>
    <w:p w14:paraId="7270DF99">
      <w:pPr>
        <w:pStyle w:val="6"/>
        <w:keepNext w:val="0"/>
        <w:keepLines w:val="0"/>
        <w:pageBreakBefore w:val="0"/>
        <w:widowControl/>
        <w:kinsoku/>
        <w:wordWrap/>
        <w:overflowPunct/>
        <w:topLinePunct w:val="0"/>
        <w:autoSpaceDE/>
        <w:autoSpaceDN/>
        <w:bidi w:val="0"/>
        <w:snapToGrid/>
        <w:spacing w:line="360" w:lineRule="auto"/>
        <w:ind w:firstLine="420" w:firstLineChars="200"/>
        <w:textAlignment w:val="auto"/>
        <w:outlineLvl w:val="3"/>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1、中标人须按招标文件的要求提供合格的产品，自最终验收合格后</w:t>
      </w:r>
      <w:r>
        <w:rPr>
          <w:rFonts w:hint="eastAsia" w:ascii="宋体" w:hAnsi="宋体" w:eastAsia="宋体" w:cs="宋体"/>
          <w:bCs/>
          <w:color w:val="auto"/>
          <w:sz w:val="21"/>
          <w:szCs w:val="21"/>
          <w:highlight w:val="none"/>
          <w:lang w:val="en-US" w:eastAsia="zh-CN"/>
        </w:rPr>
        <w:t>质保期</w:t>
      </w:r>
      <w:r>
        <w:rPr>
          <w:rFonts w:hint="eastAsia" w:ascii="宋体" w:hAnsi="宋体" w:eastAsia="宋体" w:cs="宋体"/>
          <w:bCs/>
          <w:color w:val="auto"/>
          <w:sz w:val="21"/>
          <w:szCs w:val="21"/>
          <w:highlight w:val="none"/>
        </w:rPr>
        <w:t>3年。</w:t>
      </w:r>
      <w:r>
        <w:rPr>
          <w:rFonts w:hint="eastAsia" w:ascii="宋体" w:hAnsi="宋体" w:eastAsia="宋体" w:cs="宋体"/>
          <w:bCs/>
          <w:color w:val="auto"/>
          <w:sz w:val="21"/>
          <w:szCs w:val="21"/>
          <w:highlight w:val="none"/>
          <w:lang w:val="en-US" w:eastAsia="zh-CN"/>
        </w:rPr>
        <w:t>质保期</w:t>
      </w:r>
      <w:r>
        <w:rPr>
          <w:rFonts w:hint="eastAsia" w:ascii="宋体" w:hAnsi="宋体" w:eastAsia="宋体" w:cs="宋体"/>
          <w:bCs/>
          <w:color w:val="auto"/>
          <w:sz w:val="21"/>
          <w:szCs w:val="21"/>
          <w:highlight w:val="none"/>
        </w:rPr>
        <w:t>自最终验收合格之日起计算。</w:t>
      </w:r>
    </w:p>
    <w:p w14:paraId="19F5DA2E">
      <w:pPr>
        <w:pStyle w:val="6"/>
        <w:keepNext w:val="0"/>
        <w:keepLines w:val="0"/>
        <w:pageBreakBefore w:val="0"/>
        <w:widowControl/>
        <w:kinsoku/>
        <w:wordWrap/>
        <w:overflowPunct/>
        <w:topLinePunct w:val="0"/>
        <w:autoSpaceDE/>
        <w:autoSpaceDN/>
        <w:bidi w:val="0"/>
        <w:snapToGrid/>
        <w:spacing w:line="360" w:lineRule="auto"/>
        <w:ind w:firstLine="420" w:firstLineChars="200"/>
        <w:textAlignment w:val="auto"/>
        <w:outlineLvl w:val="3"/>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w:t>
      </w:r>
      <w:r>
        <w:rPr>
          <w:rFonts w:hint="eastAsia" w:ascii="宋体" w:hAnsi="宋体" w:eastAsia="宋体" w:cs="宋体"/>
          <w:bCs/>
          <w:color w:val="auto"/>
          <w:sz w:val="21"/>
          <w:szCs w:val="21"/>
          <w:highlight w:val="none"/>
          <w:lang w:val="en-US" w:eastAsia="zh-CN"/>
        </w:rPr>
        <w:t>质保期</w:t>
      </w:r>
      <w:r>
        <w:rPr>
          <w:rFonts w:hint="eastAsia" w:ascii="宋体" w:hAnsi="宋体" w:eastAsia="宋体" w:cs="宋体"/>
          <w:bCs/>
          <w:color w:val="auto"/>
          <w:sz w:val="21"/>
          <w:szCs w:val="21"/>
          <w:highlight w:val="none"/>
        </w:rPr>
        <w:t>内中标人在接到采购人故障通知后</w:t>
      </w:r>
      <w:r>
        <w:rPr>
          <w:rFonts w:hint="eastAsia" w:ascii="宋体" w:hAnsi="宋体" w:eastAsia="宋体" w:cs="宋体"/>
          <w:bCs/>
          <w:color w:val="auto"/>
          <w:sz w:val="21"/>
          <w:szCs w:val="21"/>
          <w:highlight w:val="none"/>
          <w:lang w:val="en-US" w:eastAsia="zh-CN"/>
        </w:rPr>
        <w:t>30分钟</w:t>
      </w:r>
      <w:r>
        <w:rPr>
          <w:rFonts w:hint="eastAsia" w:ascii="宋体" w:hAnsi="宋体" w:eastAsia="宋体" w:cs="宋体"/>
          <w:bCs/>
          <w:color w:val="auto"/>
          <w:sz w:val="21"/>
          <w:szCs w:val="21"/>
          <w:highlight w:val="none"/>
        </w:rPr>
        <w:t>内响应要求，</w:t>
      </w:r>
      <w:r>
        <w:rPr>
          <w:rFonts w:hint="eastAsia" w:ascii="宋体" w:hAnsi="宋体" w:eastAsia="宋体" w:cs="宋体"/>
          <w:bCs/>
          <w:color w:val="auto"/>
          <w:sz w:val="21"/>
          <w:szCs w:val="21"/>
          <w:highlight w:val="none"/>
          <w:lang w:val="en-US" w:eastAsia="zh-CN"/>
        </w:rPr>
        <w:t>1</w:t>
      </w:r>
      <w:r>
        <w:rPr>
          <w:rFonts w:hint="eastAsia" w:ascii="宋体" w:hAnsi="宋体" w:eastAsia="宋体" w:cs="宋体"/>
          <w:bCs/>
          <w:color w:val="auto"/>
          <w:sz w:val="21"/>
          <w:szCs w:val="21"/>
          <w:highlight w:val="none"/>
        </w:rPr>
        <w:t>小时内应委派专业技术人员到现场提供咨询、维修和更换有缺陷的零部件或整机等服务，并及时填写维修报告(包括故障原因、处理情况及采购人意见等)报采购人备案，若</w:t>
      </w:r>
      <w:r>
        <w:rPr>
          <w:rFonts w:hint="eastAsia" w:ascii="宋体" w:hAnsi="宋体" w:eastAsia="宋体" w:cs="宋体"/>
          <w:bCs/>
          <w:color w:val="auto"/>
          <w:sz w:val="21"/>
          <w:szCs w:val="21"/>
          <w:highlight w:val="none"/>
          <w:lang w:val="en-US" w:eastAsia="zh-CN"/>
        </w:rPr>
        <w:t>1</w:t>
      </w:r>
      <w:r>
        <w:rPr>
          <w:rFonts w:hint="eastAsia" w:ascii="宋体" w:hAnsi="宋体" w:eastAsia="宋体" w:cs="宋体"/>
          <w:bCs/>
          <w:color w:val="auto"/>
          <w:sz w:val="21"/>
          <w:szCs w:val="21"/>
          <w:highlight w:val="none"/>
        </w:rPr>
        <w:t>小时内无法排除故障，则应先提供同档次备用机供采购人使用。其中发生一切费用由中标人承担。故障维修响应时间内未</w:t>
      </w:r>
      <w:r>
        <w:rPr>
          <w:rFonts w:hint="eastAsia" w:ascii="宋体" w:hAnsi="宋体" w:eastAsia="宋体" w:cs="宋体"/>
          <w:bCs/>
          <w:color w:val="auto"/>
          <w:sz w:val="21"/>
          <w:szCs w:val="21"/>
          <w:highlight w:val="none"/>
          <w:lang w:val="en-US" w:eastAsia="zh-CN"/>
        </w:rPr>
        <w:t>1</w:t>
      </w:r>
      <w:r>
        <w:rPr>
          <w:rFonts w:hint="eastAsia" w:ascii="宋体" w:hAnsi="宋体" w:eastAsia="宋体" w:cs="宋体"/>
          <w:bCs/>
          <w:color w:val="auto"/>
          <w:sz w:val="21"/>
          <w:szCs w:val="21"/>
          <w:highlight w:val="none"/>
        </w:rPr>
        <w:t>小时内委派专业技术人员到现场提供咨询、维修和更换有缺陷的零部件或整机等服务，采购人可自行委托第三方进行维修，所需费用由中标人承担。</w:t>
      </w:r>
      <w:r>
        <w:rPr>
          <w:rFonts w:hint="eastAsia" w:ascii="宋体" w:hAnsi="宋体" w:eastAsia="宋体" w:cs="宋体"/>
          <w:bCs/>
          <w:color w:val="auto"/>
          <w:sz w:val="21"/>
          <w:szCs w:val="21"/>
          <w:highlight w:val="none"/>
          <w:lang w:val="en-US" w:eastAsia="zh-CN"/>
        </w:rPr>
        <w:t>质保期</w:t>
      </w:r>
      <w:r>
        <w:rPr>
          <w:rFonts w:hint="eastAsia" w:ascii="宋体" w:hAnsi="宋体" w:eastAsia="宋体" w:cs="宋体"/>
          <w:bCs/>
          <w:color w:val="auto"/>
          <w:sz w:val="21"/>
          <w:szCs w:val="21"/>
          <w:highlight w:val="none"/>
        </w:rPr>
        <w:t>内中标人</w:t>
      </w:r>
      <w:r>
        <w:rPr>
          <w:rFonts w:hint="eastAsia" w:ascii="宋体" w:hAnsi="宋体" w:eastAsia="宋体" w:cs="宋体"/>
          <w:bCs/>
          <w:color w:val="auto"/>
          <w:sz w:val="21"/>
          <w:szCs w:val="21"/>
          <w:highlight w:val="none"/>
          <w:lang w:val="en-US" w:eastAsia="zh-CN"/>
        </w:rPr>
        <w:t>至少每季度</w:t>
      </w:r>
      <w:r>
        <w:rPr>
          <w:rFonts w:hint="eastAsia" w:ascii="宋体" w:hAnsi="宋体" w:eastAsia="宋体" w:cs="宋体"/>
          <w:bCs/>
          <w:color w:val="auto"/>
          <w:sz w:val="21"/>
          <w:szCs w:val="21"/>
          <w:highlight w:val="none"/>
        </w:rPr>
        <w:t>对设备进行不定期的巡查检修。且须按合同条款提供服务,非因操作不当造成要更换的零配件由中标人负责包修、包换。在</w:t>
      </w:r>
      <w:r>
        <w:rPr>
          <w:rFonts w:hint="eastAsia" w:ascii="宋体" w:hAnsi="宋体" w:eastAsia="宋体" w:cs="宋体"/>
          <w:bCs/>
          <w:color w:val="auto"/>
          <w:sz w:val="21"/>
          <w:szCs w:val="21"/>
          <w:highlight w:val="none"/>
          <w:lang w:val="en-US" w:eastAsia="zh-CN"/>
        </w:rPr>
        <w:t>质保期</w:t>
      </w:r>
      <w:r>
        <w:rPr>
          <w:rFonts w:hint="eastAsia" w:ascii="宋体" w:hAnsi="宋体" w:eastAsia="宋体" w:cs="宋体"/>
          <w:bCs/>
          <w:color w:val="auto"/>
          <w:sz w:val="21"/>
          <w:szCs w:val="21"/>
          <w:highlight w:val="none"/>
        </w:rPr>
        <w:t>结束前1个月，中标人须对货物进行一次全面的维护与保养。</w:t>
      </w:r>
    </w:p>
    <w:p w14:paraId="7DC828BE">
      <w:pPr>
        <w:pStyle w:val="6"/>
        <w:keepNext w:val="0"/>
        <w:keepLines w:val="0"/>
        <w:pageBreakBefore w:val="0"/>
        <w:widowControl/>
        <w:kinsoku/>
        <w:wordWrap/>
        <w:overflowPunct/>
        <w:topLinePunct w:val="0"/>
        <w:autoSpaceDE/>
        <w:autoSpaceDN/>
        <w:bidi w:val="0"/>
        <w:snapToGrid/>
        <w:spacing w:line="360" w:lineRule="auto"/>
        <w:ind w:firstLine="420" w:firstLineChars="200"/>
        <w:textAlignment w:val="auto"/>
        <w:outlineLvl w:val="3"/>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w:t>
      </w:r>
      <w:r>
        <w:rPr>
          <w:rFonts w:hint="eastAsia" w:ascii="宋体" w:hAnsi="宋体" w:eastAsia="宋体" w:cs="宋体"/>
          <w:bCs/>
          <w:color w:val="auto"/>
          <w:sz w:val="21"/>
          <w:szCs w:val="21"/>
          <w:highlight w:val="none"/>
          <w:lang w:val="en-US" w:eastAsia="zh-CN"/>
        </w:rPr>
        <w:t>质保期</w:t>
      </w:r>
      <w:r>
        <w:rPr>
          <w:rFonts w:hint="eastAsia" w:ascii="宋体" w:hAnsi="宋体" w:eastAsia="宋体" w:cs="宋体"/>
          <w:bCs/>
          <w:color w:val="auto"/>
          <w:sz w:val="21"/>
          <w:szCs w:val="21"/>
          <w:highlight w:val="none"/>
        </w:rPr>
        <w:t>满后，中标人有责任(或在货物使用地区指定有能力的代理人)对货物在采购人认为必要时进行定期维护和修理，中标人在接到采购人故障通知后</w:t>
      </w:r>
      <w:r>
        <w:rPr>
          <w:rFonts w:hint="eastAsia" w:ascii="宋体" w:hAnsi="宋体" w:eastAsia="宋体" w:cs="宋体"/>
          <w:bCs/>
          <w:color w:val="auto"/>
          <w:sz w:val="21"/>
          <w:szCs w:val="21"/>
          <w:highlight w:val="none"/>
          <w:lang w:val="en-US" w:eastAsia="zh-CN"/>
        </w:rPr>
        <w:t>1</w:t>
      </w:r>
      <w:r>
        <w:rPr>
          <w:rFonts w:hint="eastAsia" w:ascii="宋体" w:hAnsi="宋体" w:eastAsia="宋体" w:cs="宋体"/>
          <w:bCs/>
          <w:color w:val="auto"/>
          <w:sz w:val="21"/>
          <w:szCs w:val="21"/>
          <w:highlight w:val="none"/>
        </w:rPr>
        <w:t>小时内响应要求，</w:t>
      </w:r>
      <w:r>
        <w:rPr>
          <w:rFonts w:hint="eastAsia" w:ascii="宋体" w:hAnsi="宋体" w:eastAsia="宋体" w:cs="宋体"/>
          <w:bCs/>
          <w:color w:val="auto"/>
          <w:sz w:val="21"/>
          <w:szCs w:val="21"/>
          <w:highlight w:val="none"/>
          <w:lang w:val="en-US" w:eastAsia="zh-CN"/>
        </w:rPr>
        <w:t>2</w:t>
      </w:r>
      <w:r>
        <w:rPr>
          <w:rFonts w:hint="eastAsia" w:ascii="宋体" w:hAnsi="宋体" w:eastAsia="宋体" w:cs="宋体"/>
          <w:bCs/>
          <w:color w:val="auto"/>
          <w:sz w:val="21"/>
          <w:szCs w:val="21"/>
          <w:highlight w:val="none"/>
        </w:rPr>
        <w:t>小时内应委派专业技术人员提供咨询、维修和更换有缺陷的零部件或整机等服务，承担终身维修服务。维修仅收取配件成本费等，不收取人工服务费。若中标人在规定时间内未能履行维保义务或拒绝维保的，采购人有权另行委托第三方进行维保，因此产生的除配件成本费外的费用由中标人承担。</w:t>
      </w:r>
    </w:p>
    <w:p w14:paraId="42A61D56">
      <w:pPr>
        <w:pStyle w:val="6"/>
        <w:keepNext w:val="0"/>
        <w:keepLines w:val="0"/>
        <w:pageBreakBefore w:val="0"/>
        <w:widowControl/>
        <w:kinsoku/>
        <w:wordWrap/>
        <w:overflowPunct/>
        <w:topLinePunct w:val="0"/>
        <w:autoSpaceDE/>
        <w:autoSpaceDN/>
        <w:bidi w:val="0"/>
        <w:snapToGrid/>
        <w:spacing w:line="360" w:lineRule="auto"/>
        <w:ind w:firstLine="420" w:firstLineChars="200"/>
        <w:textAlignment w:val="auto"/>
        <w:outlineLvl w:val="3"/>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rPr>
        <w:t>4、退、换货：（1）在</w:t>
      </w:r>
      <w:r>
        <w:rPr>
          <w:rFonts w:hint="eastAsia" w:ascii="宋体" w:hAnsi="宋体" w:eastAsia="宋体" w:cs="宋体"/>
          <w:bCs/>
          <w:color w:val="auto"/>
          <w:sz w:val="21"/>
          <w:szCs w:val="21"/>
          <w:highlight w:val="none"/>
          <w:lang w:val="en-US" w:eastAsia="zh-CN"/>
        </w:rPr>
        <w:t>质保期</w:t>
      </w:r>
      <w:r>
        <w:rPr>
          <w:rFonts w:hint="eastAsia" w:ascii="宋体" w:hAnsi="宋体" w:eastAsia="宋体" w:cs="宋体"/>
          <w:bCs/>
          <w:color w:val="auto"/>
          <w:sz w:val="21"/>
          <w:szCs w:val="21"/>
          <w:highlight w:val="none"/>
        </w:rPr>
        <w:t>内出现设备质量问题，采购人则有权要求更换设备。（2）如</w:t>
      </w:r>
      <w:r>
        <w:rPr>
          <w:rFonts w:hint="eastAsia" w:ascii="宋体" w:hAnsi="宋体" w:eastAsia="宋体" w:cs="宋体"/>
          <w:bCs/>
          <w:color w:val="auto"/>
          <w:sz w:val="21"/>
          <w:szCs w:val="21"/>
          <w:highlight w:val="none"/>
          <w:lang w:val="en-US" w:eastAsia="zh-CN"/>
        </w:rPr>
        <w:t>质保期</w:t>
      </w:r>
      <w:r>
        <w:rPr>
          <w:rFonts w:hint="eastAsia" w:ascii="宋体" w:hAnsi="宋体" w:eastAsia="宋体" w:cs="宋体"/>
          <w:bCs/>
          <w:color w:val="auto"/>
          <w:sz w:val="21"/>
          <w:szCs w:val="21"/>
          <w:highlight w:val="none"/>
        </w:rPr>
        <w:t>内同一故障发生三次，或在</w:t>
      </w:r>
      <w:r>
        <w:rPr>
          <w:rFonts w:hint="eastAsia" w:ascii="宋体" w:hAnsi="宋体" w:eastAsia="宋体" w:cs="宋体"/>
          <w:bCs/>
          <w:color w:val="auto"/>
          <w:sz w:val="21"/>
          <w:szCs w:val="21"/>
          <w:highlight w:val="none"/>
          <w:lang w:val="en-US" w:eastAsia="zh-CN"/>
        </w:rPr>
        <w:t>48小时</w:t>
      </w:r>
      <w:r>
        <w:rPr>
          <w:rFonts w:hint="eastAsia" w:ascii="宋体" w:hAnsi="宋体" w:eastAsia="宋体" w:cs="宋体"/>
          <w:bCs/>
          <w:color w:val="auto"/>
          <w:sz w:val="21"/>
          <w:szCs w:val="21"/>
          <w:highlight w:val="none"/>
        </w:rPr>
        <w:t>内无法修复，中标人无条件更换并承担全部费用，换货之后</w:t>
      </w:r>
      <w:r>
        <w:rPr>
          <w:rFonts w:hint="eastAsia" w:ascii="宋体" w:hAnsi="宋体" w:eastAsia="宋体" w:cs="宋体"/>
          <w:bCs/>
          <w:color w:val="auto"/>
          <w:sz w:val="21"/>
          <w:szCs w:val="21"/>
          <w:highlight w:val="none"/>
          <w:lang w:val="en-US" w:eastAsia="zh-CN"/>
        </w:rPr>
        <w:t>质保期</w:t>
      </w:r>
      <w:r>
        <w:rPr>
          <w:rFonts w:hint="eastAsia" w:ascii="宋体" w:hAnsi="宋体" w:eastAsia="宋体" w:cs="宋体"/>
          <w:bCs/>
          <w:color w:val="auto"/>
          <w:sz w:val="21"/>
          <w:szCs w:val="21"/>
          <w:highlight w:val="none"/>
        </w:rPr>
        <w:t>自新设备通过最终验收之日起重新起算。</w:t>
      </w:r>
      <w:r>
        <w:rPr>
          <w:rFonts w:hint="eastAsia" w:ascii="宋体" w:hAnsi="宋体" w:eastAsia="宋体" w:cs="宋体"/>
          <w:bCs/>
          <w:color w:val="auto"/>
          <w:sz w:val="21"/>
          <w:szCs w:val="21"/>
          <w:highlight w:val="none"/>
          <w:lang w:eastAsia="zh-CN"/>
        </w:rPr>
        <w:t>（</w:t>
      </w:r>
      <w:r>
        <w:rPr>
          <w:rFonts w:hint="eastAsia" w:ascii="宋体" w:hAnsi="宋体" w:eastAsia="宋体" w:cs="宋体"/>
          <w:bCs/>
          <w:color w:val="auto"/>
          <w:sz w:val="21"/>
          <w:szCs w:val="21"/>
          <w:highlight w:val="none"/>
          <w:lang w:val="en-US" w:eastAsia="zh-CN"/>
        </w:rPr>
        <w:t>3）退换货期间需</w:t>
      </w:r>
      <w:r>
        <w:rPr>
          <w:rFonts w:hint="eastAsia" w:ascii="宋体" w:hAnsi="宋体" w:eastAsia="宋体" w:cs="宋体"/>
          <w:bCs/>
          <w:color w:val="auto"/>
          <w:sz w:val="21"/>
          <w:szCs w:val="21"/>
          <w:highlight w:val="none"/>
        </w:rPr>
        <w:t>提供同档次备用机</w:t>
      </w:r>
      <w:r>
        <w:rPr>
          <w:rFonts w:hint="eastAsia" w:ascii="宋体" w:hAnsi="宋体" w:eastAsia="宋体" w:cs="宋体"/>
          <w:bCs/>
          <w:color w:val="auto"/>
          <w:sz w:val="21"/>
          <w:szCs w:val="21"/>
          <w:highlight w:val="none"/>
          <w:lang w:val="en-US" w:eastAsia="zh-CN"/>
        </w:rPr>
        <w:t>供采购人使用</w:t>
      </w:r>
      <w:r>
        <w:rPr>
          <w:rFonts w:hint="eastAsia" w:ascii="宋体" w:hAnsi="宋体" w:eastAsia="宋体" w:cs="宋体"/>
          <w:bCs/>
          <w:color w:val="auto"/>
          <w:sz w:val="21"/>
          <w:szCs w:val="21"/>
          <w:highlight w:val="none"/>
          <w:lang w:eastAsia="zh-CN"/>
        </w:rPr>
        <w:t>。</w:t>
      </w:r>
    </w:p>
    <w:p w14:paraId="4D66B0C4">
      <w:pPr>
        <w:pStyle w:val="6"/>
        <w:keepNext w:val="0"/>
        <w:keepLines w:val="0"/>
        <w:pageBreakBefore w:val="0"/>
        <w:widowControl/>
        <w:kinsoku/>
        <w:wordWrap/>
        <w:overflowPunct/>
        <w:topLinePunct w:val="0"/>
        <w:autoSpaceDE/>
        <w:autoSpaceDN/>
        <w:bidi w:val="0"/>
        <w:snapToGrid/>
        <w:spacing w:line="360" w:lineRule="auto"/>
        <w:ind w:firstLine="420" w:firstLineChars="200"/>
        <w:textAlignment w:val="auto"/>
        <w:outlineLvl w:val="3"/>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5、培训：</w:t>
      </w:r>
      <w:r>
        <w:rPr>
          <w:rFonts w:hint="eastAsia" w:ascii="宋体" w:hAnsi="宋体" w:eastAsia="宋体" w:cs="宋体"/>
          <w:bCs/>
          <w:color w:val="auto"/>
          <w:sz w:val="21"/>
          <w:szCs w:val="21"/>
          <w:highlight w:val="none"/>
          <w:lang w:val="en-US" w:eastAsia="zh-CN"/>
        </w:rPr>
        <w:t>中标人</w:t>
      </w:r>
      <w:r>
        <w:rPr>
          <w:rFonts w:hint="eastAsia" w:ascii="宋体" w:hAnsi="宋体" w:eastAsia="宋体" w:cs="宋体"/>
          <w:bCs/>
          <w:color w:val="auto"/>
          <w:sz w:val="21"/>
          <w:szCs w:val="21"/>
          <w:highlight w:val="none"/>
        </w:rPr>
        <w:t>应负责对甲方使用、操作、维修、保养人员免费进行培训。</w:t>
      </w:r>
    </w:p>
    <w:p w14:paraId="144A0799">
      <w:pPr>
        <w:pStyle w:val="6"/>
        <w:keepNext w:val="0"/>
        <w:keepLines w:val="0"/>
        <w:pageBreakBefore w:val="0"/>
        <w:kinsoku/>
        <w:wordWrap/>
        <w:overflowPunct/>
        <w:topLinePunct w:val="0"/>
        <w:autoSpaceDE/>
        <w:autoSpaceDN/>
        <w:bidi w:val="0"/>
        <w:adjustRightInd/>
        <w:snapToGrid/>
        <w:spacing w:line="360" w:lineRule="auto"/>
        <w:ind w:firstLine="422" w:firstLineChars="200"/>
        <w:textAlignment w:val="auto"/>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shd w:val="clear" w:color="auto" w:fill="FFFFFF"/>
        </w:rPr>
        <w:t>八</w:t>
      </w:r>
      <w:r>
        <w:rPr>
          <w:rFonts w:hint="eastAsia" w:asciiTheme="minorEastAsia" w:hAnsiTheme="minorEastAsia" w:eastAsiaTheme="minorEastAsia" w:cstheme="minorEastAsia"/>
          <w:b/>
          <w:bCs/>
          <w:color w:val="auto"/>
          <w:sz w:val="21"/>
          <w:szCs w:val="21"/>
          <w:highlight w:val="none"/>
          <w:shd w:val="clear" w:color="auto" w:fill="FFFFFF"/>
          <w:lang w:eastAsia="zh-CN"/>
        </w:rPr>
        <w:t>、</w:t>
      </w:r>
      <w:r>
        <w:rPr>
          <w:rFonts w:hint="eastAsia" w:asciiTheme="minorEastAsia" w:hAnsiTheme="minorEastAsia" w:eastAsiaTheme="minorEastAsia" w:cstheme="minorEastAsia"/>
          <w:b/>
          <w:bCs/>
          <w:color w:val="auto"/>
          <w:sz w:val="21"/>
          <w:szCs w:val="21"/>
          <w:highlight w:val="none"/>
          <w:shd w:val="clear" w:color="auto" w:fill="FFFFFF"/>
        </w:rPr>
        <w:t>技术资料</w:t>
      </w:r>
    </w:p>
    <w:p w14:paraId="49A3DB68">
      <w:pPr>
        <w:pStyle w:val="6"/>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shd w:val="clear" w:color="auto" w:fill="FFFFFF"/>
        </w:rPr>
        <w:t>1、设备交货的同时，中标人应随设备向采购人提供不少于以下技术资料(其费用应包括在投标价格内)：</w:t>
      </w:r>
    </w:p>
    <w:p w14:paraId="469F30D2">
      <w:pPr>
        <w:pStyle w:val="6"/>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shd w:val="clear" w:color="auto" w:fill="FFFFFF"/>
        </w:rPr>
        <w:t>(1)出厂明细表(装箱单)；</w:t>
      </w:r>
    </w:p>
    <w:p w14:paraId="0F854B58">
      <w:pPr>
        <w:pStyle w:val="6"/>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shd w:val="clear" w:color="auto" w:fill="FFFFFF"/>
        </w:rPr>
        <w:t>(2)产品验收标准；</w:t>
      </w:r>
    </w:p>
    <w:p w14:paraId="7AD691BE">
      <w:pPr>
        <w:pStyle w:val="6"/>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shd w:val="clear" w:color="auto" w:fill="FFFFFF"/>
        </w:rPr>
        <w:t>(3)技术说明书；</w:t>
      </w:r>
    </w:p>
    <w:p w14:paraId="728A55CE">
      <w:pPr>
        <w:pStyle w:val="6"/>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shd w:val="clear" w:color="auto" w:fill="FFFFFF"/>
        </w:rPr>
        <w:t>(4)安装手册；</w:t>
      </w:r>
    </w:p>
    <w:p w14:paraId="148505E5">
      <w:pPr>
        <w:pStyle w:val="6"/>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shd w:val="clear" w:color="auto" w:fill="FFFFFF"/>
        </w:rPr>
        <w:t>(5)操作手册；</w:t>
      </w:r>
    </w:p>
    <w:p w14:paraId="37426D80">
      <w:pPr>
        <w:pStyle w:val="6"/>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shd w:val="clear" w:color="auto" w:fill="FFFFFF"/>
        </w:rPr>
        <w:t>(6)维修手册；</w:t>
      </w:r>
    </w:p>
    <w:p w14:paraId="4B9DE742">
      <w:pPr>
        <w:pStyle w:val="6"/>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shd w:val="clear" w:color="auto" w:fill="FFFFFF"/>
        </w:rPr>
        <w:t>(7)合同中要求的其它文件资料。</w:t>
      </w:r>
    </w:p>
    <w:p w14:paraId="3074E965">
      <w:pPr>
        <w:pStyle w:val="6"/>
        <w:keepNext w:val="0"/>
        <w:keepLines w:val="0"/>
        <w:pageBreakBefore w:val="0"/>
        <w:kinsoku/>
        <w:wordWrap/>
        <w:overflowPunct/>
        <w:topLinePunct w:val="0"/>
        <w:autoSpaceDE/>
        <w:autoSpaceDN/>
        <w:bidi w:val="0"/>
        <w:adjustRightInd/>
        <w:snapToGrid/>
        <w:spacing w:line="360" w:lineRule="auto"/>
        <w:ind w:firstLine="422" w:firstLineChars="200"/>
        <w:textAlignment w:val="auto"/>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shd w:val="clear" w:color="auto" w:fill="FFFFFF"/>
        </w:rPr>
        <w:t>九</w:t>
      </w:r>
      <w:r>
        <w:rPr>
          <w:rFonts w:hint="eastAsia" w:asciiTheme="minorEastAsia" w:hAnsiTheme="minorEastAsia" w:eastAsiaTheme="minorEastAsia" w:cstheme="minorEastAsia"/>
          <w:b/>
          <w:bCs/>
          <w:color w:val="auto"/>
          <w:sz w:val="21"/>
          <w:szCs w:val="21"/>
          <w:highlight w:val="none"/>
          <w:shd w:val="clear" w:color="auto" w:fill="FFFFFF"/>
          <w:lang w:eastAsia="zh-CN"/>
        </w:rPr>
        <w:t>、</w:t>
      </w:r>
      <w:r>
        <w:rPr>
          <w:rFonts w:hint="eastAsia" w:asciiTheme="minorEastAsia" w:hAnsiTheme="minorEastAsia" w:eastAsiaTheme="minorEastAsia" w:cstheme="minorEastAsia"/>
          <w:b/>
          <w:bCs/>
          <w:color w:val="auto"/>
          <w:sz w:val="21"/>
          <w:szCs w:val="21"/>
          <w:highlight w:val="none"/>
          <w:shd w:val="clear" w:color="auto" w:fill="FFFFFF"/>
        </w:rPr>
        <w:t>违约责任</w:t>
      </w:r>
    </w:p>
    <w:p w14:paraId="3A141ED8">
      <w:pPr>
        <w:pStyle w:val="6"/>
        <w:keepNext w:val="0"/>
        <w:keepLines w:val="0"/>
        <w:pageBreakBefore w:val="0"/>
        <w:kinsoku/>
        <w:wordWrap/>
        <w:overflowPunct/>
        <w:topLinePunct w:val="0"/>
        <w:autoSpaceDE/>
        <w:autoSpaceDN/>
        <w:bidi w:val="0"/>
        <w:adjustRightInd/>
        <w:snapToGrid/>
        <w:spacing w:line="360" w:lineRule="auto"/>
        <w:ind w:firstLine="480"/>
        <w:jc w:val="both"/>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shd w:val="clear" w:color="auto" w:fill="FFFFFF"/>
        </w:rPr>
        <w:t>1、因中标人原因造成本合同无法按时签订，视为中标人违约，中标人违约对采购人造成损失的，中标人需另行支付相应的赔偿。</w:t>
      </w:r>
    </w:p>
    <w:p w14:paraId="66375F22">
      <w:pPr>
        <w:pStyle w:val="6"/>
        <w:keepNext w:val="0"/>
        <w:keepLines w:val="0"/>
        <w:pageBreakBefore w:val="0"/>
        <w:kinsoku/>
        <w:wordWrap/>
        <w:overflowPunct/>
        <w:topLinePunct w:val="0"/>
        <w:autoSpaceDE/>
        <w:autoSpaceDN/>
        <w:bidi w:val="0"/>
        <w:adjustRightInd/>
        <w:snapToGrid/>
        <w:spacing w:line="360" w:lineRule="auto"/>
        <w:ind w:firstLine="480"/>
        <w:jc w:val="both"/>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shd w:val="clear" w:color="auto" w:fill="FFFFFF"/>
        </w:rPr>
        <w:t>2、如中标人未按合同约定的验收进度完成某阶段工作或工作成果未通过采购人的阶段性验收，各验收阶段每延期一日，应向采购人支付合同总金额2‰的延期交货违约金；中标人无正当理由逾期超过合同约定期限20个工作日仍不能交付的，视为中标人不按约定履约，采购人有权要求中标人按上述条款约定支付延期交货违约金，且采购人有权单方面解除合同。</w:t>
      </w:r>
    </w:p>
    <w:p w14:paraId="7B7B469A">
      <w:pPr>
        <w:pStyle w:val="6"/>
        <w:keepNext w:val="0"/>
        <w:keepLines w:val="0"/>
        <w:pageBreakBefore w:val="0"/>
        <w:kinsoku/>
        <w:wordWrap/>
        <w:overflowPunct/>
        <w:topLinePunct w:val="0"/>
        <w:autoSpaceDE/>
        <w:autoSpaceDN/>
        <w:bidi w:val="0"/>
        <w:adjustRightInd/>
        <w:snapToGrid/>
        <w:spacing w:line="360" w:lineRule="auto"/>
        <w:ind w:firstLine="480"/>
        <w:jc w:val="both"/>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shd w:val="clear" w:color="auto" w:fill="FFFFFF"/>
        </w:rPr>
        <w:t>3、如因中标人提供的设备违反国家相关法律法规及规定而产生的纠纷和责任，由中标人承担全部责任；如采购人因此产生损失的，中标人应承担全部赔偿责任。</w:t>
      </w:r>
    </w:p>
    <w:p w14:paraId="64B2E887">
      <w:pPr>
        <w:pStyle w:val="6"/>
        <w:keepNext w:val="0"/>
        <w:keepLines w:val="0"/>
        <w:pageBreakBefore w:val="0"/>
        <w:kinsoku/>
        <w:wordWrap/>
        <w:overflowPunct/>
        <w:topLinePunct w:val="0"/>
        <w:autoSpaceDE/>
        <w:autoSpaceDN/>
        <w:bidi w:val="0"/>
        <w:adjustRightInd/>
        <w:snapToGrid/>
        <w:spacing w:line="360" w:lineRule="auto"/>
        <w:ind w:firstLine="480"/>
        <w:jc w:val="both"/>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shd w:val="clear" w:color="auto" w:fill="FFFFFF"/>
        </w:rPr>
        <w:t>4、中标人人员违反采购人的规章制度，采购人因此产生损失的，中标人除无条件更换合适人员外，还应该赔偿采购人因此产生的全部损失；由于中标人人员操作不当或违犯操作规程造成采购人软硬件损坏的，中标人应承担维修、更换等使受损软硬件恢复原状的全部责任，并向采购人支付本合同总金额10%的违约金。</w:t>
      </w:r>
    </w:p>
    <w:p w14:paraId="5CF1B72D">
      <w:pPr>
        <w:pStyle w:val="6"/>
        <w:keepNext w:val="0"/>
        <w:keepLines w:val="0"/>
        <w:pageBreakBefore w:val="0"/>
        <w:kinsoku/>
        <w:wordWrap/>
        <w:overflowPunct/>
        <w:topLinePunct w:val="0"/>
        <w:autoSpaceDE/>
        <w:autoSpaceDN/>
        <w:bidi w:val="0"/>
        <w:adjustRightInd/>
        <w:snapToGrid/>
        <w:spacing w:line="360" w:lineRule="auto"/>
        <w:ind w:firstLine="468"/>
        <w:jc w:val="both"/>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5、在签订本合同之后，中标人要求解除合同的，视为中标人违约，中标人应支付合同总金额5%的违约金，同时支付采购人因此产生的所有损失。</w:t>
      </w:r>
    </w:p>
    <w:p w14:paraId="7B1D8440">
      <w:pPr>
        <w:pStyle w:val="6"/>
        <w:keepNext w:val="0"/>
        <w:keepLines w:val="0"/>
        <w:pageBreakBefore w:val="0"/>
        <w:kinsoku/>
        <w:wordWrap/>
        <w:overflowPunct/>
        <w:topLinePunct w:val="0"/>
        <w:autoSpaceDE/>
        <w:autoSpaceDN/>
        <w:bidi w:val="0"/>
        <w:adjustRightInd/>
        <w:snapToGrid/>
        <w:spacing w:line="360" w:lineRule="auto"/>
        <w:ind w:firstLine="468"/>
        <w:jc w:val="both"/>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6、中标人违反本合同约定的承诺、保证或其它义务，拒绝整改的，视为根本违约，采购人有权单方面解除合同，且中标人应支付合同总金额5%的违约金，同时支付采购人因此产生的所有损失。</w:t>
      </w:r>
    </w:p>
    <w:p w14:paraId="2574031A">
      <w:pPr>
        <w:pStyle w:val="6"/>
        <w:keepNext w:val="0"/>
        <w:keepLines w:val="0"/>
        <w:pageBreakBefore w:val="0"/>
        <w:kinsoku/>
        <w:wordWrap/>
        <w:overflowPunct/>
        <w:topLinePunct w:val="0"/>
        <w:autoSpaceDE/>
        <w:autoSpaceDN/>
        <w:bidi w:val="0"/>
        <w:adjustRightInd/>
        <w:snapToGrid/>
        <w:spacing w:line="360" w:lineRule="auto"/>
        <w:ind w:firstLine="468"/>
        <w:jc w:val="both"/>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7、如发生以下情况时，除按国家有关安全管理规定及采购人有关安全管理办法执行，并报相关行政主管部门处罚外，采购人有权单方面终止合同，且中标人应赔偿采购人因此遭受的所有损失：</w:t>
      </w:r>
    </w:p>
    <w:p w14:paraId="51D4E7E9">
      <w:pPr>
        <w:pStyle w:val="6"/>
        <w:keepNext w:val="0"/>
        <w:keepLines w:val="0"/>
        <w:pageBreakBefore w:val="0"/>
        <w:kinsoku/>
        <w:wordWrap/>
        <w:overflowPunct/>
        <w:topLinePunct w:val="0"/>
        <w:autoSpaceDE/>
        <w:autoSpaceDN/>
        <w:bidi w:val="0"/>
        <w:adjustRightInd/>
        <w:snapToGrid/>
        <w:spacing w:line="360" w:lineRule="auto"/>
        <w:ind w:firstLine="468"/>
        <w:jc w:val="both"/>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（1）因中标人原因发生质量事故；</w:t>
      </w:r>
    </w:p>
    <w:p w14:paraId="59DF2C93">
      <w:pPr>
        <w:pStyle w:val="6"/>
        <w:keepNext w:val="0"/>
        <w:keepLines w:val="0"/>
        <w:pageBreakBefore w:val="0"/>
        <w:kinsoku/>
        <w:wordWrap/>
        <w:overflowPunct/>
        <w:topLinePunct w:val="0"/>
        <w:autoSpaceDE/>
        <w:autoSpaceDN/>
        <w:bidi w:val="0"/>
        <w:adjustRightInd/>
        <w:snapToGrid/>
        <w:spacing w:line="360" w:lineRule="auto"/>
        <w:ind w:firstLine="468"/>
        <w:jc w:val="both"/>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（2）若发生死亡安全事故；</w:t>
      </w:r>
    </w:p>
    <w:p w14:paraId="7C1D72F1">
      <w:pPr>
        <w:pStyle w:val="6"/>
        <w:keepNext w:val="0"/>
        <w:keepLines w:val="0"/>
        <w:pageBreakBefore w:val="0"/>
        <w:kinsoku/>
        <w:wordWrap/>
        <w:overflowPunct/>
        <w:topLinePunct w:val="0"/>
        <w:autoSpaceDE/>
        <w:autoSpaceDN/>
        <w:bidi w:val="0"/>
        <w:adjustRightInd/>
        <w:snapToGrid/>
        <w:spacing w:line="360" w:lineRule="auto"/>
        <w:ind w:firstLine="468"/>
        <w:jc w:val="both"/>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（3）发生重大安全事故或特大安全事故。</w:t>
      </w:r>
    </w:p>
    <w:p w14:paraId="3DE3191B">
      <w:pPr>
        <w:pStyle w:val="6"/>
        <w:keepNext w:val="0"/>
        <w:keepLines w:val="0"/>
        <w:pageBreakBefore w:val="0"/>
        <w:kinsoku/>
        <w:wordWrap/>
        <w:overflowPunct/>
        <w:topLinePunct w:val="0"/>
        <w:autoSpaceDE/>
        <w:autoSpaceDN/>
        <w:bidi w:val="0"/>
        <w:adjustRightInd/>
        <w:snapToGrid/>
        <w:spacing w:line="360" w:lineRule="auto"/>
        <w:ind w:firstLine="46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8、本合同约定的采购人损失范围包括但不限于律师费、公告费、保全费、保函费、鉴定费、评估费、差旅费等因采购人维护而产生的全部费用。中标人应在接到采购人通知之日起七天内支付违约金、赔偿金等。如中标人在收到书面通知后7日内，仍未纠正的，采购人有权从应付款项、合同总金额或履约保证金中直接扣除违约金、赔偿金等，不足部分再由中标人支付。</w:t>
      </w:r>
    </w:p>
    <w:p w14:paraId="5DEC4E9C">
      <w:pPr>
        <w:pStyle w:val="6"/>
        <w:keepNext w:val="0"/>
        <w:keepLines w:val="0"/>
        <w:pageBreakBefore w:val="0"/>
        <w:kinsoku/>
        <w:wordWrap/>
        <w:overflowPunct/>
        <w:topLinePunct w:val="0"/>
        <w:autoSpaceDE/>
        <w:autoSpaceDN/>
        <w:bidi w:val="0"/>
        <w:adjustRightInd/>
        <w:snapToGrid/>
        <w:spacing w:line="360" w:lineRule="auto"/>
        <w:ind w:firstLine="422" w:firstLineChars="200"/>
        <w:textAlignment w:val="auto"/>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shd w:val="clear" w:color="auto" w:fill="FFFFFF"/>
        </w:rPr>
        <w:t>十</w:t>
      </w:r>
      <w:r>
        <w:rPr>
          <w:rFonts w:hint="eastAsia" w:asciiTheme="minorEastAsia" w:hAnsiTheme="minorEastAsia" w:eastAsiaTheme="minorEastAsia" w:cstheme="minorEastAsia"/>
          <w:b/>
          <w:bCs/>
          <w:color w:val="auto"/>
          <w:sz w:val="21"/>
          <w:szCs w:val="21"/>
          <w:highlight w:val="none"/>
          <w:shd w:val="clear" w:color="auto" w:fill="FFFFFF"/>
          <w:lang w:eastAsia="zh-CN"/>
        </w:rPr>
        <w:t>、</w:t>
      </w:r>
      <w:r>
        <w:rPr>
          <w:rFonts w:hint="eastAsia" w:asciiTheme="minorEastAsia" w:hAnsiTheme="minorEastAsia" w:eastAsiaTheme="minorEastAsia" w:cstheme="minorEastAsia"/>
          <w:b/>
          <w:bCs/>
          <w:color w:val="auto"/>
          <w:sz w:val="21"/>
          <w:szCs w:val="21"/>
          <w:highlight w:val="none"/>
          <w:shd w:val="clear" w:color="auto" w:fill="FFFFFF"/>
        </w:rPr>
        <w:t>知识产权</w:t>
      </w:r>
    </w:p>
    <w:p w14:paraId="2EE316D6">
      <w:pPr>
        <w:pStyle w:val="6"/>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shd w:val="clear" w:color="auto" w:fill="FFFFFF"/>
        </w:rPr>
        <w:t>1、中标人提供的设备应符合国家知识产权法律、法规的规定且非假冒伪劣品；中标人还应保证采购人不受到第三方关于侵犯知识产权及专利权、商标权或工业设计权等知识产权方面的指控，任何第三方如果提出此方面指控均与采购人无关，中标人应与第三方交涉，并承担可能发生的一切法律责任、费用和后果；若采购人因此而遭致损失，则中标人应赔偿该损失。</w:t>
      </w:r>
    </w:p>
    <w:p w14:paraId="389F600E">
      <w:pPr>
        <w:pStyle w:val="6"/>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shd w:val="clear" w:color="auto" w:fill="FFFFFF"/>
        </w:rPr>
        <w:t>2、若中标人提供的设备不符合国家知识产权法律、法规的规定或被有关主管机关认定为假冒伪劣品，则中标人中标资格将被取消；采购人有权解除合同，采购人还将按照有关法律、法规和规章的规定进行处理。</w:t>
      </w:r>
    </w:p>
    <w:p w14:paraId="106BDEBE">
      <w:pPr>
        <w:pStyle w:val="6"/>
        <w:keepNext w:val="0"/>
        <w:keepLines w:val="0"/>
        <w:pageBreakBefore w:val="0"/>
        <w:kinsoku/>
        <w:wordWrap/>
        <w:overflowPunct/>
        <w:topLinePunct w:val="0"/>
        <w:autoSpaceDE/>
        <w:autoSpaceDN/>
        <w:bidi w:val="0"/>
        <w:adjustRightInd/>
        <w:snapToGrid/>
        <w:spacing w:line="360" w:lineRule="auto"/>
        <w:ind w:firstLine="422" w:firstLineChars="200"/>
        <w:textAlignment w:val="auto"/>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十一</w:t>
      </w:r>
      <w:r>
        <w:rPr>
          <w:rFonts w:hint="eastAsia" w:asciiTheme="minorEastAsia" w:hAnsiTheme="minorEastAsia" w:eastAsiaTheme="minorEastAsia" w:cstheme="minorEastAsia"/>
          <w:b/>
          <w:bCs/>
          <w:color w:val="auto"/>
          <w:sz w:val="21"/>
          <w:szCs w:val="21"/>
          <w:highlight w:val="none"/>
          <w:lang w:eastAsia="zh-CN"/>
        </w:rPr>
        <w:t>、</w:t>
      </w:r>
      <w:r>
        <w:rPr>
          <w:rFonts w:hint="eastAsia" w:asciiTheme="minorEastAsia" w:hAnsiTheme="minorEastAsia" w:eastAsiaTheme="minorEastAsia" w:cstheme="minorEastAsia"/>
          <w:b/>
          <w:bCs/>
          <w:color w:val="auto"/>
          <w:sz w:val="21"/>
          <w:szCs w:val="21"/>
          <w:highlight w:val="none"/>
        </w:rPr>
        <w:t>权利义务</w:t>
      </w:r>
    </w:p>
    <w:p w14:paraId="13345F38">
      <w:pPr>
        <w:pStyle w:val="6"/>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r>
        <w:rPr>
          <w:rFonts w:hint="eastAsia" w:asciiTheme="minorEastAsia" w:hAnsi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中标人负责项目实施环境施工期间设备、配件和设备资料的保管工作；</w:t>
      </w:r>
    </w:p>
    <w:p w14:paraId="69E9E673">
      <w:pPr>
        <w:pStyle w:val="6"/>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w:t>
      </w:r>
      <w:r>
        <w:rPr>
          <w:rFonts w:hint="eastAsia" w:asciiTheme="minorEastAsia" w:hAnsi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中标人应提供详细的硬件设备物理参数、电源功耗、散热等指标；</w:t>
      </w:r>
    </w:p>
    <w:p w14:paraId="5AE26BB0">
      <w:pPr>
        <w:pStyle w:val="6"/>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w:t>
      </w:r>
      <w:r>
        <w:rPr>
          <w:rFonts w:hint="eastAsia" w:asciiTheme="minorEastAsia" w:hAnsi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中标人应对硬件设备的安装以及内部连线负责，并负责提供硬件设备之间的电缆和接头的施工；</w:t>
      </w:r>
    </w:p>
    <w:p w14:paraId="309A3A6E">
      <w:pPr>
        <w:pStyle w:val="6"/>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4</w:t>
      </w:r>
      <w:r>
        <w:rPr>
          <w:rFonts w:hint="eastAsia" w:asciiTheme="minorEastAsia" w:hAnsi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中标人应就本合同的履行，获取原产商的必要协助，如因原产商原因影响本合同履行或设备使用的，中标人应承担违约责任。</w:t>
      </w:r>
    </w:p>
    <w:p w14:paraId="7F517C2F">
      <w:pPr>
        <w:pStyle w:val="6"/>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5</w:t>
      </w:r>
      <w:r>
        <w:rPr>
          <w:rFonts w:hint="eastAsia" w:asciiTheme="minorEastAsia" w:hAnsi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采购人有权（包括进入中标人工作场地）对中标人工作进度、质量、安全等进行监督和检查，并有权要求中标人按照采购人要求进行整改。</w:t>
      </w:r>
    </w:p>
    <w:p w14:paraId="5732BF2A">
      <w:pPr>
        <w:pStyle w:val="6"/>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6</w:t>
      </w:r>
      <w:r>
        <w:rPr>
          <w:rFonts w:hint="eastAsia" w:asciiTheme="minorEastAsia" w:hAnsi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在监督检查过程中，如采购人发现中标人的工作实际进度无法达到交货期限的要求，或中标人的工作存在任何缺陷、瑕疵、疏漏或不符合本合同的规定，中标人应按采购人要求提出改进和补救措施（包括但不限于增加人员、设备、倒班次数、服务时间等），中标人应承担因此产生的全部责任和费用，中标人无权就改进和补救措施要求调整交货期限或增加费用。如采购人认为中标人采取改进或补救措施后仍不能确保按时完成某项服务且将影响整体工作期限，采购人有权委托第三方完成相关服务，因此发生的全部费用由中标人承担，采购人有权直接从应付合同总金额中扣除该等费用。</w:t>
      </w:r>
    </w:p>
    <w:p w14:paraId="68494FE8">
      <w:pPr>
        <w:pStyle w:val="6"/>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color w:val="auto"/>
          <w:sz w:val="21"/>
          <w:szCs w:val="21"/>
          <w:highlight w:val="none"/>
        </w:rPr>
        <w:t>7</w:t>
      </w:r>
      <w:r>
        <w:rPr>
          <w:rFonts w:hint="eastAsia" w:asciiTheme="minorEastAsia" w:hAnsi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在履行合同过程中，采购人接受中标人有关产品的建议和要求或采购人的任何审查、批准、同意、建议、意见，不得视为采购人接受有缺陷的产品，亦不得在任何方面减轻、免除中标人本合同项下及法律法规规定的义务和责任。</w:t>
      </w:r>
      <w:r>
        <w:rPr>
          <w:rFonts w:hint="eastAsia" w:asciiTheme="minorEastAsia" w:hAnsiTheme="minorEastAsia" w:eastAsiaTheme="minorEastAsia" w:cstheme="minorEastAsia"/>
          <w:color w:val="auto"/>
          <w:sz w:val="21"/>
          <w:szCs w:val="21"/>
          <w:highlight w:val="none"/>
        </w:rPr>
        <w:br w:type="textWrapping"/>
      </w:r>
      <w:r>
        <w:rPr>
          <w:rFonts w:hint="eastAsia" w:asciiTheme="minorEastAsia" w:hAnsiTheme="minorEastAsia" w:cstheme="minorEastAsia"/>
          <w:b w:val="0"/>
          <w:bCs w:val="0"/>
          <w:color w:val="auto"/>
          <w:sz w:val="21"/>
          <w:szCs w:val="21"/>
          <w:highlight w:val="none"/>
          <w:lang w:val="en-US" w:eastAsia="zh-CN"/>
        </w:rPr>
        <w:t xml:space="preserve">    </w:t>
      </w:r>
      <w:r>
        <w:rPr>
          <w:rFonts w:hint="eastAsia" w:asciiTheme="minorEastAsia" w:hAnsiTheme="minorEastAsia" w:eastAsiaTheme="minorEastAsia" w:cstheme="minorEastAsia"/>
          <w:b w:val="0"/>
          <w:bCs w:val="0"/>
          <w:color w:val="auto"/>
          <w:sz w:val="21"/>
          <w:szCs w:val="21"/>
          <w:highlight w:val="none"/>
        </w:rPr>
        <w:t>十二</w:t>
      </w:r>
      <w:r>
        <w:rPr>
          <w:rFonts w:hint="eastAsia" w:asciiTheme="minorEastAsia" w:hAnsiTheme="minorEastAsia" w:eastAsiaTheme="minorEastAsia" w:cstheme="minorEastAsia"/>
          <w:b w:val="0"/>
          <w:bCs w:val="0"/>
          <w:color w:val="auto"/>
          <w:sz w:val="21"/>
          <w:szCs w:val="21"/>
          <w:highlight w:val="none"/>
          <w:lang w:eastAsia="zh-CN"/>
        </w:rPr>
        <w:t>、</w:t>
      </w:r>
      <w:r>
        <w:rPr>
          <w:rFonts w:hint="eastAsia" w:asciiTheme="minorEastAsia" w:hAnsiTheme="minorEastAsia" w:eastAsiaTheme="minorEastAsia" w:cstheme="minorEastAsia"/>
          <w:b w:val="0"/>
          <w:bCs w:val="0"/>
          <w:color w:val="auto"/>
          <w:sz w:val="21"/>
          <w:szCs w:val="21"/>
          <w:highlight w:val="none"/>
        </w:rPr>
        <w:t>根据财政部、国家发展改革委《关于印发节能产品政府采购品目清单的通知》（财库〔2019〕19号）的规定，台式计算机，便携式计算机，平板式微型计算机，激光打印机，针式打印机，液晶显示器，制冷压缩机，空调机组，专用制冷、空调设备，镇流器，空调机，电热水器，普通照明用双端荧光灯，电视设备，视频设备，便器，水嘴品目为政府强制采购的节能产品{具体品目以《节能产品政府采购品目清单》（财库〔2019〕19号）中“★”标注为准}，其他品目为政府优先采购的节能产品。若投标人所投产品属于政府强制节能产品的，在投标时须提供所投政府强制节能产品由国家确定的认证机构出具的、处于有效期之内的产品认证证书复印件，否则视为投标无效。</w:t>
      </w:r>
    </w:p>
    <w:p w14:paraId="62E52034">
      <w:pPr>
        <w:pStyle w:val="6"/>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十三</w:t>
      </w:r>
      <w:r>
        <w:rPr>
          <w:rFonts w:hint="eastAsia" w:asciiTheme="minorEastAsia" w:hAnsiTheme="minorEastAsia" w:eastAsiaTheme="minorEastAsia" w:cstheme="minorEastAsia"/>
          <w:b w:val="0"/>
          <w:bCs w:val="0"/>
          <w:color w:val="auto"/>
          <w:sz w:val="21"/>
          <w:szCs w:val="21"/>
          <w:highlight w:val="none"/>
          <w:lang w:eastAsia="zh-CN"/>
        </w:rPr>
        <w:t>、</w:t>
      </w:r>
      <w:r>
        <w:rPr>
          <w:rFonts w:hint="eastAsia" w:asciiTheme="minorEastAsia" w:hAnsiTheme="minorEastAsia" w:eastAsiaTheme="minorEastAsia" w:cstheme="minorEastAsia"/>
          <w:b w:val="0"/>
          <w:bCs w:val="0"/>
          <w:color w:val="auto"/>
          <w:sz w:val="21"/>
          <w:szCs w:val="21"/>
          <w:highlight w:val="none"/>
        </w:rPr>
        <w:t>本采购文件有列明投标人须提供所投产品属国家强制性要求或认证（如3C、强制性节能产品、信息安全产品）相关证书等证明材料的，按采购文件要求提供；本采购文件未要求但投标人所投产品属国家强制性要求或认证（如3C、强制性节能产品、信息安全产品）的，投标人所投产品须满足国家强制性要求或认证（如3C、强制性节能产品、信息安全产品）要求且能在验收时能提供3C认证证书，并对其真实性负责。</w:t>
      </w:r>
    </w:p>
    <w:p w14:paraId="5E82FB35">
      <w:pPr>
        <w:pStyle w:val="6"/>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Theme="minorEastAsia" w:hAnsiTheme="minorEastAsia" w:cstheme="minorEastAsia"/>
          <w:b/>
          <w:bCs/>
          <w:color w:val="auto"/>
          <w:sz w:val="21"/>
          <w:szCs w:val="21"/>
          <w:highlight w:val="none"/>
          <w:lang w:val="en-US" w:eastAsia="zh-CN"/>
        </w:rPr>
      </w:pPr>
      <w:r>
        <w:rPr>
          <w:rFonts w:hint="eastAsia" w:asciiTheme="minorEastAsia" w:hAnsiTheme="minorEastAsia" w:cstheme="minorEastAsia"/>
          <w:b/>
          <w:bCs/>
          <w:color w:val="auto"/>
          <w:sz w:val="21"/>
          <w:szCs w:val="21"/>
          <w:highlight w:val="none"/>
          <w:lang w:val="en-US" w:eastAsia="zh-CN"/>
        </w:rPr>
        <w:t>十四、保密条款</w:t>
      </w:r>
    </w:p>
    <w:p w14:paraId="7333BAE1">
      <w:pPr>
        <w:pStyle w:val="6"/>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Theme="minorEastAsia" w:hAnsiTheme="minorEastAsia" w:cstheme="minorEastAsia"/>
          <w:b w:val="0"/>
          <w:bCs w:val="0"/>
          <w:color w:val="auto"/>
          <w:sz w:val="21"/>
          <w:szCs w:val="21"/>
          <w:highlight w:val="none"/>
          <w:lang w:val="en-US" w:eastAsia="zh-CN"/>
        </w:rPr>
      </w:pPr>
      <w:r>
        <w:rPr>
          <w:rFonts w:hint="eastAsia" w:asciiTheme="minorEastAsia" w:hAnsiTheme="minorEastAsia" w:cstheme="minorEastAsia"/>
          <w:b w:val="0"/>
          <w:bCs w:val="0"/>
          <w:color w:val="auto"/>
          <w:sz w:val="21"/>
          <w:szCs w:val="21"/>
          <w:highlight w:val="none"/>
          <w:lang w:val="en-US" w:eastAsia="zh-CN"/>
        </w:rPr>
        <w:t>1、乙方必须严格按照甲方要求，不得进行任何违法、违规或侵犯他人隐私的行为。</w:t>
      </w:r>
    </w:p>
    <w:p w14:paraId="1E1F5BC3">
      <w:pPr>
        <w:pStyle w:val="6"/>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Theme="minorEastAsia" w:hAnsiTheme="minorEastAsia" w:cstheme="minorEastAsia"/>
          <w:b w:val="0"/>
          <w:bCs w:val="0"/>
          <w:color w:val="auto"/>
          <w:sz w:val="21"/>
          <w:szCs w:val="21"/>
          <w:highlight w:val="none"/>
          <w:lang w:val="en-US" w:eastAsia="zh-CN"/>
        </w:rPr>
      </w:pPr>
      <w:r>
        <w:rPr>
          <w:rFonts w:hint="eastAsia" w:asciiTheme="minorEastAsia" w:hAnsiTheme="minorEastAsia" w:cstheme="minorEastAsia"/>
          <w:b w:val="0"/>
          <w:bCs w:val="0"/>
          <w:color w:val="auto"/>
          <w:sz w:val="21"/>
          <w:szCs w:val="21"/>
          <w:highlight w:val="none"/>
          <w:lang w:val="en-US" w:eastAsia="zh-CN"/>
        </w:rPr>
        <w:t>2、投标人不得泄露任何相关客户隐私信息，不得将相关信息用于任何非法目的。必须确保系统的保密性和安全性。</w:t>
      </w:r>
    </w:p>
    <w:p w14:paraId="434352B7">
      <w:pPr>
        <w:pStyle w:val="6"/>
        <w:keepNext w:val="0"/>
        <w:keepLines w:val="0"/>
        <w:pageBreakBefore w:val="0"/>
        <w:kinsoku/>
        <w:wordWrap/>
        <w:overflowPunct/>
        <w:topLinePunct w:val="0"/>
        <w:autoSpaceDE/>
        <w:autoSpaceDN/>
        <w:bidi w:val="0"/>
        <w:adjustRightInd/>
        <w:snapToGrid/>
        <w:spacing w:line="360" w:lineRule="auto"/>
        <w:ind w:firstLine="480"/>
        <w:textAlignment w:val="auto"/>
        <w:rPr>
          <w:rFonts w:hint="default" w:asciiTheme="minorEastAsia" w:hAnsiTheme="minorEastAsia" w:cstheme="minorEastAsia"/>
          <w:b w:val="0"/>
          <w:bCs w:val="0"/>
          <w:color w:val="auto"/>
          <w:sz w:val="21"/>
          <w:szCs w:val="21"/>
          <w:highlight w:val="none"/>
          <w:lang w:val="en-US" w:eastAsia="zh-CN"/>
        </w:rPr>
      </w:pPr>
      <w:r>
        <w:rPr>
          <w:rFonts w:hint="eastAsia" w:asciiTheme="minorEastAsia" w:hAnsiTheme="minorEastAsia" w:cstheme="minorEastAsia"/>
          <w:b w:val="0"/>
          <w:bCs w:val="0"/>
          <w:color w:val="auto"/>
          <w:sz w:val="21"/>
          <w:szCs w:val="21"/>
          <w:highlight w:val="none"/>
          <w:lang w:val="en-US" w:eastAsia="zh-CN"/>
        </w:rPr>
        <w:t>3、违约造成的损失必须依法赔偿损失，乙方负有保密义务和法律责任。</w:t>
      </w:r>
    </w:p>
    <w:p w14:paraId="6A94D878">
      <w:pPr>
        <w:pStyle w:val="6"/>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十</w:t>
      </w:r>
      <w:r>
        <w:rPr>
          <w:rFonts w:hint="eastAsia" w:asciiTheme="minorEastAsia" w:hAnsiTheme="minorEastAsia" w:cstheme="minorEastAsia"/>
          <w:b/>
          <w:bCs/>
          <w:color w:val="auto"/>
          <w:sz w:val="21"/>
          <w:szCs w:val="21"/>
          <w:highlight w:val="none"/>
          <w:lang w:val="en-US" w:eastAsia="zh-CN"/>
        </w:rPr>
        <w:t>五</w:t>
      </w:r>
      <w:r>
        <w:rPr>
          <w:rFonts w:hint="eastAsia" w:asciiTheme="minorEastAsia" w:hAnsiTheme="minorEastAsia" w:eastAsiaTheme="minorEastAsia" w:cstheme="minorEastAsia"/>
          <w:b/>
          <w:bCs/>
          <w:color w:val="auto"/>
          <w:sz w:val="21"/>
          <w:szCs w:val="21"/>
          <w:highlight w:val="none"/>
          <w:lang w:eastAsia="zh-CN"/>
        </w:rPr>
        <w:t>、</w:t>
      </w:r>
      <w:r>
        <w:rPr>
          <w:rFonts w:hint="eastAsia" w:asciiTheme="minorEastAsia" w:hAnsiTheme="minorEastAsia" w:eastAsiaTheme="minorEastAsia" w:cstheme="minorEastAsia"/>
          <w:b/>
          <w:bCs/>
          <w:color w:val="auto"/>
          <w:sz w:val="21"/>
          <w:szCs w:val="21"/>
          <w:highlight w:val="none"/>
        </w:rPr>
        <w:t>解决争议的方法</w:t>
      </w:r>
    </w:p>
    <w:p w14:paraId="12E8A0EC">
      <w:pPr>
        <w:pStyle w:val="6"/>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r>
        <w:rPr>
          <w:rFonts w:hint="eastAsia" w:asciiTheme="minorEastAsia" w:hAnsi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双方协商解决。</w:t>
      </w:r>
    </w:p>
    <w:p w14:paraId="23E262DF">
      <w:pPr>
        <w:pStyle w:val="6"/>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w:t>
      </w:r>
      <w:r>
        <w:rPr>
          <w:rFonts w:hint="eastAsia" w:asciiTheme="minorEastAsia" w:hAnsi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若协商解决不成，则双方均有权向采购人所在地人民法院提出诉讼。</w:t>
      </w:r>
    </w:p>
    <w:p w14:paraId="6237296C">
      <w:pPr>
        <w:pStyle w:val="6"/>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十</w:t>
      </w:r>
      <w:r>
        <w:rPr>
          <w:rFonts w:hint="eastAsia" w:asciiTheme="minorEastAsia" w:hAnsiTheme="minorEastAsia" w:cstheme="minorEastAsia"/>
          <w:b/>
          <w:bCs/>
          <w:color w:val="auto"/>
          <w:sz w:val="21"/>
          <w:szCs w:val="21"/>
          <w:highlight w:val="none"/>
          <w:lang w:val="en-US" w:eastAsia="zh-CN"/>
        </w:rPr>
        <w:t>六</w:t>
      </w:r>
      <w:r>
        <w:rPr>
          <w:rFonts w:hint="eastAsia" w:asciiTheme="minorEastAsia" w:hAnsiTheme="minorEastAsia" w:eastAsiaTheme="minorEastAsia" w:cstheme="minorEastAsia"/>
          <w:b/>
          <w:bCs/>
          <w:color w:val="auto"/>
          <w:sz w:val="21"/>
          <w:szCs w:val="21"/>
          <w:highlight w:val="none"/>
          <w:lang w:eastAsia="zh-CN"/>
        </w:rPr>
        <w:t>、</w:t>
      </w:r>
      <w:r>
        <w:rPr>
          <w:rFonts w:hint="eastAsia" w:asciiTheme="minorEastAsia" w:hAnsiTheme="minorEastAsia" w:eastAsiaTheme="minorEastAsia" w:cstheme="minorEastAsia"/>
          <w:b/>
          <w:bCs/>
          <w:color w:val="auto"/>
          <w:sz w:val="21"/>
          <w:szCs w:val="21"/>
          <w:highlight w:val="none"/>
        </w:rPr>
        <w:t>不可抗力</w:t>
      </w:r>
    </w:p>
    <w:p w14:paraId="5AEBD8B6">
      <w:pPr>
        <w:pStyle w:val="6"/>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r>
        <w:rPr>
          <w:rFonts w:hint="eastAsia" w:asciiTheme="minorEastAsia" w:hAnsi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14:paraId="53ED65D3">
      <w:pPr>
        <w:pStyle w:val="6"/>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w:t>
      </w:r>
      <w:r>
        <w:rPr>
          <w:rFonts w:hint="eastAsia" w:asciiTheme="minorEastAsia" w:hAnsi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本合同中的不可抗力指不能预见、不能避免、不能克服的客观情况，包括但不限于：自然灾害如地震、台风、洪水、火灾及政府行为、法律规定或其适用的变化或其他任何无法预见、避免或控制的事件。</w:t>
      </w:r>
    </w:p>
    <w:p w14:paraId="384EE426">
      <w:pPr>
        <w:pStyle w:val="6"/>
        <w:keepNext w:val="0"/>
        <w:keepLines w:val="0"/>
        <w:pageBreakBefore w:val="0"/>
        <w:kinsoku/>
        <w:wordWrap/>
        <w:overflowPunct/>
        <w:topLinePunct w:val="0"/>
        <w:autoSpaceDE/>
        <w:autoSpaceDN/>
        <w:bidi w:val="0"/>
        <w:adjustRightInd/>
        <w:snapToGrid/>
        <w:spacing w:line="360" w:lineRule="auto"/>
        <w:ind w:firstLine="422" w:firstLineChars="200"/>
        <w:jc w:val="both"/>
        <w:textAlignment w:val="auto"/>
        <w:outlineLvl w:val="2"/>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b/>
          <w:color w:val="auto"/>
          <w:sz w:val="21"/>
          <w:szCs w:val="21"/>
          <w:highlight w:val="none"/>
          <w:lang w:val="en-US" w:eastAsia="zh-CN"/>
        </w:rPr>
        <w:t>十</w:t>
      </w:r>
      <w:r>
        <w:rPr>
          <w:rFonts w:hint="eastAsia" w:asciiTheme="minorEastAsia" w:hAnsiTheme="minorEastAsia" w:cstheme="minorEastAsia"/>
          <w:b/>
          <w:color w:val="auto"/>
          <w:sz w:val="21"/>
          <w:szCs w:val="21"/>
          <w:highlight w:val="none"/>
          <w:lang w:val="en-US" w:eastAsia="zh-CN"/>
        </w:rPr>
        <w:t>七</w:t>
      </w:r>
      <w:r>
        <w:rPr>
          <w:rFonts w:hint="eastAsia" w:asciiTheme="minorEastAsia" w:hAnsiTheme="minorEastAsia" w:eastAsiaTheme="minorEastAsia" w:cstheme="minorEastAsia"/>
          <w:b/>
          <w:color w:val="auto"/>
          <w:sz w:val="21"/>
          <w:szCs w:val="21"/>
          <w:highlight w:val="none"/>
        </w:rPr>
        <w:t>、其他事项</w:t>
      </w:r>
    </w:p>
    <w:p w14:paraId="7DF77177">
      <w:pPr>
        <w:keepNext w:val="0"/>
        <w:keepLines w:val="0"/>
        <w:pageBreakBefore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1、除招标文件另有规定外，若出现有关法律、法规和规章有强制性规定但招标文件未列明的情形，则投标人应按照有关法律、法规和规章强制性规定执行。</w:t>
      </w:r>
    </w:p>
    <w:p w14:paraId="79A0D06E">
      <w:pPr>
        <w:keepNext w:val="0"/>
        <w:keepLines w:val="0"/>
        <w:pageBreakBefore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2、本合同一式肆份，甲方叁份，乙方壹份。甲乙双方签字或盖章后生效。</w:t>
      </w:r>
    </w:p>
    <w:p w14:paraId="06DD0EE1">
      <w:pPr>
        <w:keepNext w:val="0"/>
        <w:keepLines w:val="0"/>
        <w:pageBreakBefore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lang w:val="en-US" w:eastAsia="zh-CN"/>
        </w:rPr>
        <w:t>3、</w:t>
      </w:r>
      <w:r>
        <w:rPr>
          <w:rFonts w:hint="eastAsia" w:asciiTheme="minorEastAsia" w:hAnsiTheme="minorEastAsia" w:eastAsiaTheme="minorEastAsia" w:cstheme="minorEastAsia"/>
          <w:bCs/>
          <w:color w:val="auto"/>
          <w:sz w:val="21"/>
          <w:szCs w:val="21"/>
          <w:highlight w:val="none"/>
        </w:rPr>
        <w:t>招标文件、投标文件也是合同的组成部分，具有同等法律效力，合同中未约定的或不一致的以招标文件、投标文件为准。</w:t>
      </w:r>
    </w:p>
    <w:p w14:paraId="1188C201">
      <w:pPr>
        <w:keepNext w:val="0"/>
        <w:keepLines w:val="0"/>
        <w:pageBreakBefore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4、</w:t>
      </w:r>
      <w:r>
        <w:rPr>
          <w:rFonts w:hint="eastAsia" w:asciiTheme="minorEastAsia" w:hAnsiTheme="minorEastAsia" w:eastAsiaTheme="minorEastAsia" w:cstheme="minorEastAsia"/>
          <w:color w:val="auto"/>
          <w:sz w:val="21"/>
          <w:szCs w:val="21"/>
          <w:highlight w:val="none"/>
        </w:rPr>
        <w:t>本合同含两个附件，附件与本合同具有同等效力。</w:t>
      </w:r>
    </w:p>
    <w:p w14:paraId="082BB65F">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auto"/>
          <w:sz w:val="21"/>
          <w:szCs w:val="21"/>
          <w:highlight w:val="none"/>
        </w:rPr>
      </w:pPr>
    </w:p>
    <w:p w14:paraId="37AB062B">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甲    方                           </w:t>
      </w:r>
      <w:r>
        <w:rPr>
          <w:rFonts w:hint="eastAsia" w:asciiTheme="minorEastAsia" w:hAnsi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乙    方</w:t>
      </w:r>
    </w:p>
    <w:p w14:paraId="76D7432E">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单位名称：</w:t>
      </w:r>
      <w:r>
        <w:rPr>
          <w:rFonts w:hint="eastAsia" w:asciiTheme="minorEastAsia" w:hAnsiTheme="minorEastAsia" w:eastAsiaTheme="minorEastAsia" w:cstheme="minorEastAsia"/>
          <w:color w:val="auto"/>
          <w:sz w:val="21"/>
          <w:szCs w:val="21"/>
          <w:highlight w:val="none"/>
          <w:lang w:eastAsia="zh-CN"/>
        </w:rPr>
        <w:t>陕西省中医医院</w:t>
      </w:r>
      <w:r>
        <w:rPr>
          <w:rFonts w:hint="eastAsia" w:asciiTheme="minorEastAsia" w:hAnsiTheme="minorEastAsia" w:eastAsiaTheme="minorEastAsia" w:cstheme="minorEastAsia"/>
          <w:color w:val="auto"/>
          <w:sz w:val="21"/>
          <w:szCs w:val="21"/>
          <w:highlight w:val="none"/>
        </w:rPr>
        <w:t xml:space="preserve">         </w:t>
      </w:r>
      <w:r>
        <w:rPr>
          <w:rFonts w:hint="eastAsia" w:asciiTheme="minorEastAsia" w:hAnsi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 xml:space="preserve">单位名称： </w:t>
      </w:r>
    </w:p>
    <w:p w14:paraId="50F630A3">
      <w:pPr>
        <w:keepNext w:val="0"/>
        <w:keepLines w:val="0"/>
        <w:pageBreakBefore w:val="0"/>
        <w:kinsoku/>
        <w:wordWrap/>
        <w:overflowPunct/>
        <w:topLinePunct w:val="0"/>
        <w:autoSpaceDE/>
        <w:autoSpaceDN/>
        <w:bidi w:val="0"/>
        <w:adjustRightInd/>
        <w:snapToGrid/>
        <w:spacing w:line="360" w:lineRule="auto"/>
        <w:ind w:left="5520" w:hanging="4830" w:hangingChars="2300"/>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地   址：</w:t>
      </w: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 xml:space="preserve">       </w:t>
      </w:r>
      <w:r>
        <w:rPr>
          <w:rFonts w:hint="eastAsia" w:asciiTheme="minorEastAsia" w:hAnsi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地    址：</w:t>
      </w:r>
    </w:p>
    <w:p w14:paraId="18C25AD3">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auto"/>
          <w:sz w:val="21"/>
          <w:szCs w:val="21"/>
          <w:highlight w:val="none"/>
        </w:rPr>
      </w:pPr>
    </w:p>
    <w:p w14:paraId="03B4A77B">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法人代表：                          </w:t>
      </w:r>
      <w:r>
        <w:rPr>
          <w:rFonts w:hint="eastAsia" w:asciiTheme="minorEastAsia" w:hAnsi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法人代表：</w:t>
      </w:r>
    </w:p>
    <w:p w14:paraId="577FD2E2">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auto"/>
          <w:sz w:val="21"/>
          <w:szCs w:val="21"/>
          <w:highlight w:val="none"/>
        </w:rPr>
      </w:pPr>
    </w:p>
    <w:p w14:paraId="3D6D3429">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联系电话：</w:t>
      </w: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 xml:space="preserve">       </w:t>
      </w:r>
      <w:r>
        <w:rPr>
          <w:rFonts w:hint="eastAsia" w:asciiTheme="minorEastAsia" w:hAnsi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联系电话：</w:t>
      </w:r>
    </w:p>
    <w:p w14:paraId="49B835E3">
      <w:pPr>
        <w:keepNext w:val="0"/>
        <w:keepLines w:val="0"/>
        <w:pageBreakBefore w:val="0"/>
        <w:kinsoku/>
        <w:wordWrap/>
        <w:overflowPunct/>
        <w:topLinePunct w:val="0"/>
        <w:autoSpaceDE/>
        <w:autoSpaceDN/>
        <w:bidi w:val="0"/>
        <w:adjustRightInd/>
        <w:snapToGrid/>
        <w:spacing w:line="360" w:lineRule="auto"/>
        <w:ind w:left="5760" w:hanging="5040" w:hangingChars="2400"/>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开 户 行：</w:t>
      </w: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 xml:space="preserve">       </w:t>
      </w:r>
      <w:r>
        <w:rPr>
          <w:rFonts w:hint="eastAsia" w:asciiTheme="minorEastAsia" w:hAnsi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 xml:space="preserve">开 户 行： </w:t>
      </w:r>
    </w:p>
    <w:p w14:paraId="0AE25315">
      <w:pPr>
        <w:pStyle w:val="2"/>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1"/>
          <w:szCs w:val="21"/>
          <w:highlight w:val="none"/>
        </w:rPr>
      </w:pPr>
    </w:p>
    <w:p w14:paraId="58BA9CF8">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账    号：</w:t>
      </w: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 xml:space="preserve">      </w:t>
      </w:r>
      <w:r>
        <w:rPr>
          <w:rFonts w:hint="eastAsia" w:asciiTheme="minorEastAsia" w:hAnsi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 xml:space="preserve"> 账    号：</w:t>
      </w:r>
    </w:p>
    <w:p w14:paraId="3BB6AC5C">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auto"/>
          <w:sz w:val="21"/>
          <w:szCs w:val="21"/>
          <w:highlight w:val="none"/>
        </w:rPr>
      </w:pPr>
    </w:p>
    <w:p w14:paraId="7B58B89F">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color w:val="auto"/>
          <w:sz w:val="21"/>
          <w:szCs w:val="21"/>
          <w:highlight w:val="none"/>
        </w:rPr>
        <w:t>纳税人识别号：</w:t>
      </w: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 xml:space="preserve">   </w:t>
      </w:r>
      <w:r>
        <w:rPr>
          <w:rFonts w:hint="eastAsia" w:asciiTheme="minorEastAsia" w:hAnsi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纳税人识别号：</w:t>
      </w:r>
    </w:p>
    <w:p w14:paraId="3C5A797A">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auto"/>
          <w:sz w:val="21"/>
          <w:szCs w:val="21"/>
          <w:highlight w:val="none"/>
        </w:rPr>
      </w:pPr>
    </w:p>
    <w:p w14:paraId="1536068A">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cstheme="minorEastAsia"/>
          <w:bCs/>
          <w:color w:val="auto"/>
          <w:sz w:val="21"/>
          <w:szCs w:val="21"/>
          <w:highlight w:val="none"/>
          <w:lang w:val="en-US" w:eastAsia="zh-CN"/>
        </w:rPr>
        <w:t xml:space="preserve">                                              </w:t>
      </w:r>
      <w:r>
        <w:rPr>
          <w:rFonts w:hint="eastAsia" w:asciiTheme="minorEastAsia" w:hAnsiTheme="minorEastAsia" w:eastAsiaTheme="minorEastAsia" w:cstheme="minorEastAsia"/>
          <w:bCs/>
          <w:color w:val="auto"/>
          <w:sz w:val="21"/>
          <w:szCs w:val="21"/>
          <w:highlight w:val="none"/>
        </w:rPr>
        <w:t>签订日期：</w:t>
      </w:r>
      <w:r>
        <w:rPr>
          <w:rFonts w:hint="eastAsia" w:asciiTheme="minorEastAsia" w:hAnsiTheme="minorEastAsia" w:eastAsiaTheme="minorEastAsia" w:cstheme="minorEastAsia"/>
          <w:color w:val="auto"/>
          <w:sz w:val="21"/>
          <w:szCs w:val="21"/>
          <w:highlight w:val="none"/>
        </w:rPr>
        <w:t xml:space="preserve">   年   月   日</w:t>
      </w:r>
    </w:p>
    <w:p w14:paraId="05E8AAA1">
      <w:pPr>
        <w:keepNext w:val="0"/>
        <w:keepLines w:val="0"/>
        <w:pageBreakBefore w:val="0"/>
        <w:kinsoku/>
        <w:wordWrap/>
        <w:overflowPunct/>
        <w:topLinePunct w:val="0"/>
        <w:autoSpaceDE/>
        <w:autoSpaceDN/>
        <w:bidi w:val="0"/>
        <w:adjustRightInd/>
        <w:snapToGrid/>
        <w:spacing w:line="360" w:lineRule="auto"/>
        <w:ind w:firstLine="525" w:firstLineChars="250"/>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                 </w:t>
      </w:r>
      <w:r>
        <w:rPr>
          <w:rFonts w:hint="eastAsia" w:asciiTheme="minorEastAsia" w:hAnsi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签订地点：西安市</w:t>
      </w:r>
    </w:p>
    <w:p w14:paraId="4AF0E3D8">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auto"/>
          <w:sz w:val="21"/>
          <w:szCs w:val="21"/>
          <w:highlight w:val="none"/>
        </w:rPr>
      </w:pPr>
    </w:p>
    <w:p w14:paraId="592A8255">
      <w:pPr>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附件1 性能参数表</w:t>
      </w:r>
    </w:p>
    <w:p w14:paraId="5CCCBB6D">
      <w:pPr>
        <w:keepNext w:val="0"/>
        <w:keepLines w:val="0"/>
        <w:pageBreakBefore w:val="0"/>
        <w:kinsoku/>
        <w:wordWrap/>
        <w:overflowPunct/>
        <w:topLinePunct w:val="0"/>
        <w:autoSpaceDE/>
        <w:autoSpaceDN/>
        <w:bidi w:val="0"/>
        <w:adjustRightInd/>
        <w:snapToGrid/>
        <w:spacing w:line="360" w:lineRule="auto"/>
        <w:textAlignment w:val="auto"/>
        <w:rPr>
          <w:rFonts w:hint="eastAsia"/>
          <w:color w:val="auto"/>
          <w:szCs w:val="21"/>
          <w:highlight w:val="none"/>
          <w:lang w:val="en-US" w:eastAsia="zh-Hans"/>
        </w:rPr>
      </w:pPr>
      <w:r>
        <w:rPr>
          <w:rFonts w:hint="eastAsia" w:asciiTheme="minorEastAsia" w:hAnsiTheme="minorEastAsia" w:eastAsiaTheme="minorEastAsia" w:cstheme="minorEastAsia"/>
          <w:bCs/>
          <w:color w:val="auto"/>
          <w:sz w:val="21"/>
          <w:szCs w:val="21"/>
          <w:highlight w:val="none"/>
        </w:rPr>
        <w:t xml:space="preserve">附件2 配置清单 </w:t>
      </w:r>
    </w:p>
    <w:p w14:paraId="01704207"/>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B30350">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808C8C">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8808C8C">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A046B"/>
    <w:multiLevelType w:val="singleLevel"/>
    <w:tmpl w:val="1ECA046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B61B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楷体" w:hAnsi="楷体" w:eastAsia="楷体" w:cs="楷体"/>
      <w:sz w:val="23"/>
      <w:szCs w:val="23"/>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2025-05-28T01:52:24Z</dcterms:created>
  <dc:creator>27322</dc:creator>
  <cp:lastModifiedBy>乐乐</cp:lastModifiedBy>
  <dcterms:modified xsi:type="dcterms:W3CDTF">2025-05-28T01:53:12Z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eyJoZGlkIjoiMjdjN2IwZGFiODBhZmI4NGE4ZjQ1OTlmYjI5MWFkYTUiLCJ1c2VySWQiOiIxMTM0MzQwMzcwIn0=</vt:lpwstr>
  </property>
  <property fmtid="{D5CDD505-2E9C-101B-9397-08002B2CF9AE}" pid="4" name="ICV">
    <vt:lpwstr>D8BC10EF964548329EEADB8240631C79_12</vt:lpwstr>
  </property>
</Properties>
</file>