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版本号：SXXZC202501420250528001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陕西省“十五五”城市市政基础设施建设规划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SXXZC2025014</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陕西信智诚项目管理有限公司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陕西信智诚项目管理有限公司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陕西省“十五五”城市市政基础设施建设规划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SXXZC2025014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陕西省“十五五”城市市政基础设施建设规划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陕西省十五五”城市市政基础设施建设规划，1项，具体内容详见采购文件第三章。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p>
      <w:pPr>
        <w:pStyle w:val="null3"/>
      </w:pPr>
      <w:r>
        <w:rPr>
          <w:rFonts w:ascii="仿宋_GB2312" w:hAnsi="仿宋_GB2312" w:cs="仿宋_GB2312" w:eastAsia="仿宋_GB2312"/>
        </w:rPr>
        <w:t>3、税收缴纳证明：提供自2024年12月1日至递交磋商响应文件截止之日内已缴存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自2024年12月1日至递交磋商响应文件截止之日内已缴存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6、承诺函：履行本合同所必需的设备和专业技术能力的承诺;</w:t>
      </w:r>
    </w:p>
    <w:p>
      <w:pPr>
        <w:pStyle w:val="null3"/>
      </w:pPr>
      <w:r>
        <w:rPr>
          <w:rFonts w:ascii="仿宋_GB2312" w:hAnsi="仿宋_GB2312" w:cs="仿宋_GB2312" w:eastAsia="仿宋_GB2312"/>
        </w:rPr>
        <w:t>7、信用记录：供应商在信用中国（www.creditchina.gov.cn）未被列入重大税收违法失信主体、在中国执行信息公开网（http://zxgk.court.gov.cn/）未被列入失信被执行人及在中国政府采购网（www.ccgp.gov.cn）未被列入政府采购严重违法失信行为记录名单。</w:t>
      </w:r>
    </w:p>
    <w:p>
      <w:pPr>
        <w:pStyle w:val="null3"/>
      </w:pPr>
      <w:r>
        <w:rPr>
          <w:rFonts w:ascii="仿宋_GB2312" w:hAnsi="仿宋_GB2312" w:cs="仿宋_GB2312" w:eastAsia="仿宋_GB2312"/>
        </w:rPr>
        <w:t>8、本项目不接受联合体投标，不允许分包：供应商应提供《非联合体不分包投标声明》，视为独立投标，不分包。</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10、法定代表人授权书：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11、企业资质要求：具有城乡规划编制甲级企业资质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西安市新城大院省政府大楼9楼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陕西省住房和城乡建设厅机关经办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029-63915857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陕西信智诚项目管理有限公司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西安市经济技术开发区凤城四路90号海璟新天地写字楼2006室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15339132732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委《招标代理服务收费管理暂行办法》（计价格[2002]1980号）以及《关于进一步放开建设项目专项业务服务价格的通知》（发改价格[2015]299号）规定以中标（成交）价为依据准标下浮20%计算代理服务费，由成交单位在领取成交通知书时向受托方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陕西信智诚项目管理有限公司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陕西信智诚项目管理有限公司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陕西信智诚项目管理有限公司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联系人：何青</w:t>
      </w:r>
    </w:p>
    <w:p>
      <w:pPr>
        <w:pStyle w:val="null3"/>
      </w:pPr>
      <w:r>
        <w:rPr>
          <w:rFonts w:ascii="仿宋_GB2312" w:hAnsi="仿宋_GB2312" w:cs="仿宋_GB2312" w:eastAsia="仿宋_GB2312"/>
        </w:rPr>
        <w:t>联系电话：15339132732</w:t>
      </w:r>
    </w:p>
    <w:p>
      <w:pPr>
        <w:pStyle w:val="null3"/>
      </w:pPr>
      <w:r>
        <w:rPr>
          <w:rFonts w:ascii="仿宋_GB2312" w:hAnsi="仿宋_GB2312" w:cs="仿宋_GB2312" w:eastAsia="仿宋_GB2312"/>
        </w:rPr>
        <w:t>地址： 陕西省西安市经济技术开发区凤城四路90号海璟新天地写字楼2006室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陕西省十五五”城市市政基础设施建设规划，1项，具体内容详见采购文件第三章。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1.陕西省“十五五”城市市政基础设施建设规划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标的名称：1.陕西省“十五五”城市市政基础设施建设规划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委托第三方专业机构编制陕西省</w:t>
            </w:r>
            <w:r>
              <w:rPr>
                <w:rFonts w:ascii="仿宋_GB2312" w:hAnsi="仿宋_GB2312" w:cs="仿宋_GB2312" w:eastAsia="仿宋_GB2312"/>
                <w:sz w:val="20"/>
              </w:rPr>
              <w:t>“十五五”城市市政基础设施规划，</w:t>
            </w:r>
            <w:r>
              <w:rPr>
                <w:rFonts w:ascii="仿宋_GB2312" w:hAnsi="仿宋_GB2312" w:cs="仿宋_GB2312" w:eastAsia="仿宋_GB2312"/>
                <w:sz w:val="20"/>
              </w:rPr>
              <w:t>全</w:t>
            </w:r>
            <w:r>
              <w:rPr>
                <w:rFonts w:ascii="仿宋_GB2312" w:hAnsi="仿宋_GB2312" w:cs="仿宋_GB2312" w:eastAsia="仿宋_GB2312"/>
                <w:sz w:val="20"/>
              </w:rPr>
              <w:t>面总结</w:t>
            </w:r>
            <w:r>
              <w:rPr>
                <w:rFonts w:ascii="仿宋_GB2312" w:hAnsi="仿宋_GB2312" w:cs="仿宋_GB2312" w:eastAsia="仿宋_GB2312"/>
                <w:sz w:val="20"/>
              </w:rPr>
              <w:t>“十四五”全省城市市政基础设施建设领域发展成效，深入剖析阶段性存在的深层次矛盾和问题，客观审视“十五五”发展环境，锚定全省城市市政基础设施建设领域高质量发展主线。科学合理确定全省“十五五”城市市政基础设施建设事业发展目标，提出“十五五”时期各项重大任务、重大工程和重大改革等务实举措。</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合同签订后300个日历天完成规划编制服务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陕西省住房和城乡建设厅机关指定地点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提交最终成果文件且甲方审核通过后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磋商响应文件。同时，成交供应商在领取成交通知书时需提交纸质版磋商响应文件正本壹份、副本贰份，电子版文件（U盘，包含响应文件Word版及PDF版）贰份，纸质版文件内容应于电子版文件内容保持一致。地点：陕西省西安市经济技术开发区凤城四路90号海璟新天地写字楼2006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落实政府采购政策资格审查</w:t>
            </w:r>
          </w:p>
        </w:tc>
        <w:tc>
          <w:tcPr>
            <w:tcW w:type="dxa" w:w="3322"/>
          </w:tcPr>
          <w:p>
            <w:pPr>
              <w:pStyle w:val="null3"/>
            </w:pPr>
            <w:r>
              <w:rPr>
                <w:rFonts w:ascii="仿宋_GB2312" w:hAnsi="仿宋_GB2312" w:cs="仿宋_GB2312" w:eastAsia="仿宋_GB2312"/>
              </w:rPr>
              <w:t>本项目为非专门面向中小企业采购的采购项目，符合1)《政府采购促进中小企业发展管理办法》的通知(财库[2020]46号)；2)财政部司法部关于政府采购支持监狱企业发展有关问题的通知 (财 库〔2014〕68号)；7)三部门联合发布关于促进残疾人就业政府采购政策的通知 (财库〔2017〕141号) ；条件的供应商需在项目电子化交易系统中按要求上传相应证明文件并进行电子签章。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具有财务审计资质的单位出具的财务报告（成立时间至磋商时间不足一年的可提供成立后任意时段的财务报表）或磋商前三个月内基本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提供自2024年12月1日至递交磋商响应文件截止之日内已缴存任意一个月的依法缴纳税收的相关凭据，凭据应有税务机关或代收机关的公章或业务专用章。依法免税或无须缴纳税收的供应商，应提供相应证明文件。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提供自2024年12月1日至递交磋商响应文件截止之日内已缴存任意一个月的社会保障资金缴存单据或社保机构开具的社会保险参保缴费情况证明。依法不需要缴纳社会保障资金的供应商应提供相关文件证明。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履行本合同所必需的设备和专业技术能力的承诺;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未被列入重大税收违法失信主体、在中国执行信息公开网（http://zxgk.court.gov.cn/）未被列入失信被执行人及在中国政府采购网（www.ccgp.gov.cn）未被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具有城乡规划编制甲级企业资质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满足本磋商文件中的实质性条款要求：服务期限、服务地点、考核（验收）标准和方法、支付方式、支付约定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投标有效期满足的</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1.项目负责人具有正高级技术职称或同等专业水平证书等证明材料得2分； 2.项目负责人具有注册城乡规划师资格证的，得1分； 3.拟派本项目技术团队成员中（不含项目负责人)具有城乡规划类相关专业高级或以上职称的，每提供一个得1.5分，共4.5分；具有城乡规划类相关专业中级职称的，每提供一个得0.5分，共2.5分。 注：供应商未提供或提供无效相关内容不得分。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整体方案：根据供应商方案的完整性、严谨性、合理性、规范性及支撑依据等方面进行综合比较：思路清晰、合理、可行，对项目实施具有指导作用计15-25分；思路较清晰、合理、可行，对项目实施具有较好的指导作用计1-15分；思路不清晰，可行性不强及未提供不计分； 2.实施进度：根据方案的工作流程、进度计划、各阶段工作成果的完成时间计划的合理性、科学性综合比较：对本次实施进度安排合理、详细具体计4-7分；对本次实施进度安排较合理、较详细计1-4分；对本次实施进度安排不合理、不详细及未提供的不计分； 3.成果质量：针对本项目采购需求重点、难点进行论述以及成果文件质量标准综合比较：方案详细、合理计11-20分；方案较详细、较合理计1-10分；方案不详细、不合理及未提供不计分； 4.保证措施：根据本项目的工期和成果要求，编制保障措施及预案：措施预案合理，可行性强计5-8分；措施预案较合理，可行性较强计1-5分；措施预案不合理及未提供不计分。 注：供应商未提供相关内容不得分。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供应商需提供2020年1月以来独立承担过类似项目业绩，每提供1项得3分，最高得15分（类似业绩是指:规划编制类或规划编制评估类）。 评审依据：以供应商提供的中标通知书或合同或同类型范围项目评估报告复印件加盖鲜章提供为准），未提供或不清晰导致无法识别的不予认可。</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根据供应商对本项目提出合理化建议、服务承诺、增值服务等，从合理性、全面性、经济性、可行性等、综合比较计3-5分。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价格权值×100%。备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