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版本号：FDZB-2025-008Z20250528001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2025年度免疫规划注射器采购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FDZB-2025-008Z</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2025年度免疫规划注射器采购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FDZB-2025-008Z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2025年度免疫规划注射器采购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2025年度免疫规划注射器采购项目，1批，具体详见招标文件。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授权书：供应商应授权合法的人员参加投标全过程，其中法定代表人直接参加投标的，须出具法人代表人身份证明书，并与营业执照上信息一致。法定代表人授权代表参加投标的，须出具法定代表人授权书及授权代表身份证；</w:t>
      </w:r>
    </w:p>
    <w:p>
      <w:pPr>
        <w:pStyle w:val="null3"/>
      </w:pPr>
      <w:r>
        <w:rPr>
          <w:rFonts w:ascii="仿宋_GB2312" w:hAnsi="仿宋_GB2312" w:cs="仿宋_GB2312" w:eastAsia="仿宋_GB2312"/>
        </w:rPr>
        <w:t>3、企业资质：①生产厂家参加投标的须提供《体外诊断试剂生产许可证》或《医疗器械生产许可证》，代理商参加投标的须提供《经营许可证》或《体外诊断试剂经营许可证》或《医疗器械经营许可证》，并提供产品制造商加盖公章的《体外诊断试剂生产许可证》或《医疗器械生产许可证》；②所投产品如属于医疗器械应出具医疗器械注册证或医疗器械备案凭证；</w:t>
      </w:r>
    </w:p>
    <w:p>
      <w:pPr>
        <w:pStyle w:val="null3"/>
      </w:pPr>
      <w:r>
        <w:rPr>
          <w:rFonts w:ascii="仿宋_GB2312" w:hAnsi="仿宋_GB2312" w:cs="仿宋_GB2312" w:eastAsia="仿宋_GB2312"/>
        </w:rPr>
        <w:t>4、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5、其他：①税收缴纳证明：提供供应商自开标前一年内至少一个月已缴纳的增值税或营业税或企业所得税的凭据或税务机关开具的完税证明；依法免税的应提供相关文件证明; ②社会保障资金缴纳证明：提供供应商自开标前一年内已缴纳的至少一个月的社会保障资金缴存单据或社保机构开具的社会保险参保缴费情况证明，依法不需要缴纳社会保障资金的单位应提供相关证明材料；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西安市碑林区建东街 3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029-82475996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029-88813539、18192110669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国家计委《招标代理服务费管理暂行办法》（计价格[2002]1980号）、发改价格（2003）857号文件规定的收费标准以中标金额作为计算基数计取，招标代理服务费由成交供应商支付,不足伍仟的按伍仟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联系电话：029-88813539、18192110669</w:t>
      </w:r>
    </w:p>
    <w:p>
      <w:pPr>
        <w:pStyle w:val="null3"/>
      </w:pPr>
      <w:r>
        <w:rPr>
          <w:rFonts w:ascii="仿宋_GB2312" w:hAnsi="仿宋_GB2312" w:cs="仿宋_GB2312" w:eastAsia="仿宋_GB2312"/>
        </w:rPr>
        <w:t>地址：陕西省西安市雁塔区天地源悦熙广场2号楼19层11901室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2025年度免疫规划注射器采购项目，1批，具体详见招标文件。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1,104,000.00</w:t>
      </w:r>
    </w:p>
    <w:p>
      <w:pPr>
        <w:pStyle w:val="null3"/>
      </w:pPr>
      <w:r>
        <w:rPr>
          <w:rFonts w:ascii="仿宋_GB2312" w:hAnsi="仿宋_GB2312" w:cs="仿宋_GB2312" w:eastAsia="仿宋_GB2312"/>
        </w:rPr>
        <w:t>采购包最高限价（元）: 1,104,000.00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2025年度免疫规划注射器采购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标的名称：2025年度免疫规划注射器采购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320"/>
              <w:jc w:val="left"/>
            </w:pPr>
            <w:r>
              <w:rPr>
                <w:rFonts w:ascii="仿宋_GB2312" w:hAnsi="仿宋_GB2312" w:cs="仿宋_GB2312" w:eastAsia="仿宋_GB2312"/>
                <w:sz w:val="30"/>
                <w:b/>
              </w:rPr>
              <w:t>一、技术参数及要求</w:t>
            </w:r>
          </w:p>
          <w:tbl>
            <w:tblPr>
              <w:tblBorders>
                <w:top w:val="none" w:color="000000" w:sz="4"/>
                <w:left w:val="none" w:color="000000" w:sz="4"/>
                <w:bottom w:val="none" w:color="000000" w:sz="4"/>
                <w:right w:val="none" w:color="000000" w:sz="4"/>
                <w:insideH w:val="none"/>
                <w:insideV w:val="none"/>
              </w:tblBorders>
            </w:tblPr>
            <w:tblGrid>
              <w:gridCol w:w="1008"/>
              <w:gridCol w:w="682"/>
              <w:gridCol w:w="341"/>
              <w:gridCol w:w="511"/>
            </w:tblGrid>
            <w:tr>
              <w:tc>
                <w:tcPr>
                  <w:tcW w:type="dxa" w:w="1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品名</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规格</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数量</w:t>
                  </w:r>
                </w:p>
                <w:p>
                  <w:pPr>
                    <w:pStyle w:val="null3"/>
                    <w:spacing w:before="105" w:after="105"/>
                    <w:jc w:val="center"/>
                  </w:pPr>
                  <w:r>
                    <w:rPr>
                      <w:rFonts w:ascii="仿宋_GB2312" w:hAnsi="仿宋_GB2312" w:cs="仿宋_GB2312" w:eastAsia="仿宋_GB2312"/>
                      <w:sz w:val="28"/>
                    </w:rPr>
                    <w:t>（万支）</w:t>
                  </w: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一次性使用注射器</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0.1毫升/支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color w:val="000000"/>
                    </w:rPr>
                    <w:t>36</w:t>
                  </w:r>
                </w:p>
              </w:tc>
            </w:tr>
            <w:tr>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一次性使用注射器</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1毫升/支</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8"/>
                      <w:color w:val="000000"/>
                    </w:rPr>
                    <w:t>700</w:t>
                  </w:r>
                </w:p>
              </w:tc>
            </w:tr>
          </w:tbl>
          <w:p>
            <w:pPr>
              <w:pStyle w:val="null3"/>
              <w:spacing w:before="105" w:after="105"/>
              <w:ind w:firstLine="560"/>
              <w:jc w:val="both"/>
            </w:pPr>
            <w:r>
              <w:rPr>
                <w:rFonts w:ascii="仿宋_GB2312" w:hAnsi="仿宋_GB2312" w:cs="仿宋_GB2312" w:eastAsia="仿宋_GB2312"/>
                <w:sz w:val="28"/>
              </w:rPr>
              <w:t>一、容量：</w:t>
            </w:r>
            <w:r>
              <w:rPr>
                <w:rFonts w:ascii="仿宋_GB2312" w:hAnsi="仿宋_GB2312" w:cs="仿宋_GB2312" w:eastAsia="仿宋_GB2312"/>
                <w:sz w:val="28"/>
              </w:rPr>
              <w:t>0.1毫升、1毫升规格注射器在原刻度上增加20%空间，能完成同规格疫苗稀释和注射用。</w:t>
            </w:r>
          </w:p>
          <w:p>
            <w:pPr>
              <w:pStyle w:val="null3"/>
              <w:spacing w:before="105" w:after="105"/>
              <w:ind w:firstLine="560"/>
              <w:jc w:val="both"/>
            </w:pPr>
            <w:r>
              <w:rPr>
                <w:rFonts w:ascii="仿宋_GB2312" w:hAnsi="仿宋_GB2312" w:cs="仿宋_GB2312" w:eastAsia="仿宋_GB2312"/>
                <w:sz w:val="28"/>
              </w:rPr>
              <w:t>二、刻度及准确性：</w:t>
            </w:r>
            <w:r>
              <w:rPr>
                <w:rFonts w:ascii="仿宋_GB2312" w:hAnsi="仿宋_GB2312" w:cs="仿宋_GB2312" w:eastAsia="仿宋_GB2312"/>
                <w:sz w:val="28"/>
              </w:rPr>
              <w:t>0.1毫升注射器有两个刻度线，即0和0.1毫升。1毫升注射器有三个刻度线，即0、0.5和1毫升。入针管底端时零位线与活塞上的基准线重合，计量数字应从针管底端零位线开始，“零”字可以省略。容量线及计量数字印刷应完整，字迹清楚，线条清晰，粗细均匀。</w:t>
            </w:r>
          </w:p>
          <w:p>
            <w:pPr>
              <w:pStyle w:val="null3"/>
              <w:spacing w:before="105" w:after="105"/>
              <w:ind w:firstLine="560"/>
              <w:jc w:val="both"/>
            </w:pPr>
            <w:r>
              <w:rPr>
                <w:rFonts w:ascii="仿宋_GB2312" w:hAnsi="仿宋_GB2312" w:cs="仿宋_GB2312" w:eastAsia="仿宋_GB2312"/>
                <w:sz w:val="28"/>
              </w:rPr>
              <w:t>三、渗漏：在</w:t>
            </w:r>
            <w:r>
              <w:rPr>
                <w:rFonts w:ascii="仿宋_GB2312" w:hAnsi="仿宋_GB2312" w:cs="仿宋_GB2312" w:eastAsia="仿宋_GB2312"/>
                <w:sz w:val="28"/>
              </w:rPr>
              <w:t>3个大气压下，6分钟蒸馏水渗漏小于25ul。</w:t>
            </w:r>
          </w:p>
          <w:p>
            <w:pPr>
              <w:pStyle w:val="null3"/>
              <w:spacing w:before="105" w:after="105"/>
              <w:ind w:firstLine="560"/>
              <w:jc w:val="both"/>
            </w:pPr>
            <w:r>
              <w:rPr>
                <w:rFonts w:ascii="仿宋_GB2312" w:hAnsi="仿宋_GB2312" w:cs="仿宋_GB2312" w:eastAsia="仿宋_GB2312"/>
                <w:sz w:val="28"/>
                <w:color w:val="000000"/>
              </w:rPr>
              <w:t>四、溶药功能：仅用一支注射器即可完成干粉疫苗的溶药与注射。</w:t>
            </w:r>
          </w:p>
          <w:p>
            <w:pPr>
              <w:pStyle w:val="null3"/>
              <w:spacing w:before="105" w:after="105"/>
              <w:ind w:firstLine="560"/>
              <w:jc w:val="both"/>
            </w:pPr>
            <w:r>
              <w:rPr>
                <w:rFonts w:ascii="仿宋_GB2312" w:hAnsi="仿宋_GB2312" w:cs="仿宋_GB2312" w:eastAsia="仿宋_GB2312"/>
                <w:sz w:val="28"/>
              </w:rPr>
              <w:t>五、外观</w:t>
            </w:r>
          </w:p>
          <w:p>
            <w:pPr>
              <w:pStyle w:val="null3"/>
              <w:spacing w:before="105" w:after="105"/>
              <w:ind w:firstLine="560"/>
              <w:jc w:val="both"/>
            </w:pPr>
            <w:r>
              <w:rPr>
                <w:rFonts w:ascii="仿宋_GB2312" w:hAnsi="仿宋_GB2312" w:cs="仿宋_GB2312" w:eastAsia="仿宋_GB2312"/>
                <w:sz w:val="28"/>
              </w:rPr>
              <w:t>1.透明度：3级，能清晰地看到基准线。</w:t>
            </w:r>
          </w:p>
          <w:p>
            <w:pPr>
              <w:pStyle w:val="null3"/>
              <w:spacing w:before="105" w:after="105"/>
              <w:ind w:firstLine="560"/>
              <w:jc w:val="both"/>
            </w:pPr>
            <w:r>
              <w:rPr>
                <w:rFonts w:ascii="仿宋_GB2312" w:hAnsi="仿宋_GB2312" w:cs="仿宋_GB2312" w:eastAsia="仿宋_GB2312"/>
                <w:sz w:val="28"/>
              </w:rPr>
              <w:t>2.注射器不得有毛边、毛刺、塑流、缺损等缺陷。</w:t>
            </w:r>
          </w:p>
          <w:p>
            <w:pPr>
              <w:pStyle w:val="null3"/>
              <w:spacing w:before="105" w:after="105"/>
              <w:ind w:firstLine="560"/>
              <w:jc w:val="both"/>
            </w:pPr>
            <w:r>
              <w:rPr>
                <w:rFonts w:ascii="仿宋_GB2312" w:hAnsi="仿宋_GB2312" w:cs="仿宋_GB2312" w:eastAsia="仿宋_GB2312"/>
                <w:sz w:val="28"/>
              </w:rPr>
              <w:t>3.注射器内表面不得有明显可见的润滑剂会聚。</w:t>
            </w:r>
          </w:p>
          <w:p>
            <w:pPr>
              <w:pStyle w:val="null3"/>
              <w:spacing w:before="105" w:after="105"/>
              <w:ind w:firstLine="560"/>
              <w:jc w:val="both"/>
            </w:pPr>
            <w:r>
              <w:rPr>
                <w:rFonts w:ascii="仿宋_GB2312" w:hAnsi="仿宋_GB2312" w:cs="仿宋_GB2312" w:eastAsia="仿宋_GB2312"/>
                <w:sz w:val="28"/>
              </w:rPr>
              <w:t>4.注射器应清洁，无颗粒和异物。</w:t>
            </w:r>
          </w:p>
          <w:p>
            <w:pPr>
              <w:pStyle w:val="null3"/>
              <w:spacing w:before="105" w:after="105"/>
              <w:ind w:firstLine="560"/>
              <w:jc w:val="both"/>
            </w:pPr>
            <w:r>
              <w:rPr>
                <w:rFonts w:ascii="仿宋_GB2312" w:hAnsi="仿宋_GB2312" w:cs="仿宋_GB2312" w:eastAsia="仿宋_GB2312"/>
                <w:sz w:val="28"/>
              </w:rPr>
              <w:t>六、最大残留容量：最大残留容量小于</w:t>
            </w:r>
            <w:r>
              <w:rPr>
                <w:rFonts w:ascii="仿宋_GB2312" w:hAnsi="仿宋_GB2312" w:cs="仿宋_GB2312" w:eastAsia="仿宋_GB2312"/>
                <w:sz w:val="28"/>
              </w:rPr>
              <w:t>0.07毫升。</w:t>
            </w:r>
          </w:p>
          <w:p>
            <w:pPr>
              <w:pStyle w:val="null3"/>
              <w:spacing w:before="105" w:after="105"/>
              <w:ind w:firstLine="560"/>
              <w:jc w:val="both"/>
            </w:pPr>
            <w:r>
              <w:rPr>
                <w:rFonts w:ascii="仿宋_GB2312" w:hAnsi="仿宋_GB2312" w:cs="仿宋_GB2312" w:eastAsia="仿宋_GB2312"/>
                <w:sz w:val="28"/>
              </w:rPr>
              <w:t>七、环氧乙烷残留物</w:t>
            </w:r>
            <w:r>
              <w:rPr>
                <w:rFonts w:ascii="仿宋_GB2312" w:hAnsi="仿宋_GB2312" w:cs="仿宋_GB2312" w:eastAsia="仿宋_GB2312"/>
                <w:sz w:val="28"/>
              </w:rPr>
              <w:t>≤10ug/g；</w:t>
            </w:r>
          </w:p>
          <w:p>
            <w:pPr>
              <w:pStyle w:val="null3"/>
              <w:spacing w:before="105" w:after="105"/>
              <w:ind w:firstLine="560"/>
              <w:jc w:val="both"/>
            </w:pPr>
            <w:r>
              <w:rPr>
                <w:rFonts w:ascii="仿宋_GB2312" w:hAnsi="仿宋_GB2312" w:cs="仿宋_GB2312" w:eastAsia="仿宋_GB2312"/>
                <w:sz w:val="28"/>
              </w:rPr>
              <w:t>八、针头：固定针头，带针头帽，五号针头</w:t>
            </w:r>
            <w:r>
              <w:rPr>
                <w:rFonts w:ascii="仿宋_GB2312" w:hAnsi="仿宋_GB2312" w:cs="仿宋_GB2312" w:eastAsia="仿宋_GB2312"/>
                <w:sz w:val="28"/>
              </w:rPr>
              <w:t>,针头长度符合各种疫苗注射要求；如果在设计注射器时包括有防意外刺伤的保护设计，这将不会给注射器的使用或性能带来不便或不利。</w:t>
            </w:r>
            <w:r>
              <w:br/>
            </w:r>
            <w:r>
              <w:rPr>
                <w:rFonts w:ascii="仿宋_GB2312" w:hAnsi="仿宋_GB2312" w:cs="仿宋_GB2312" w:eastAsia="仿宋_GB2312"/>
                <w:sz w:val="28"/>
              </w:rPr>
              <w:t>九、排气：在吸入疫苗时带入的气泡应易于排出。</w:t>
            </w:r>
          </w:p>
          <w:p>
            <w:pPr>
              <w:pStyle w:val="null3"/>
              <w:spacing w:before="105" w:after="105"/>
              <w:ind w:firstLine="560"/>
              <w:jc w:val="both"/>
            </w:pPr>
            <w:r>
              <w:rPr>
                <w:rFonts w:ascii="仿宋_GB2312" w:hAnsi="仿宋_GB2312" w:cs="仿宋_GB2312" w:eastAsia="仿宋_GB2312"/>
                <w:sz w:val="28"/>
              </w:rPr>
              <w:t>十、活塞：符合国家标准，便于按国家有关的规定销毁或回收，在销毁或回收时不会明显产生对环境有害的物质。</w:t>
            </w:r>
          </w:p>
          <w:p>
            <w:pPr>
              <w:pStyle w:val="null3"/>
              <w:spacing w:before="105" w:after="105"/>
              <w:ind w:firstLine="560"/>
              <w:jc w:val="both"/>
            </w:pPr>
            <w:r>
              <w:rPr>
                <w:rFonts w:ascii="仿宋_GB2312" w:hAnsi="仿宋_GB2312" w:cs="仿宋_GB2312" w:eastAsia="仿宋_GB2312"/>
                <w:sz w:val="28"/>
              </w:rPr>
              <w:t>十一、防震荡能力：当注射器从</w:t>
            </w:r>
            <w:r>
              <w:rPr>
                <w:rFonts w:ascii="仿宋_GB2312" w:hAnsi="仿宋_GB2312" w:cs="仿宋_GB2312" w:eastAsia="仿宋_GB2312"/>
                <w:sz w:val="28"/>
              </w:rPr>
              <w:t>1米高处落到水泥地面后不影响注射器的使用；在模拟运输的情况下的震荡试验，注射器的性能不受影响。</w:t>
            </w:r>
          </w:p>
          <w:p>
            <w:pPr>
              <w:pStyle w:val="null3"/>
              <w:spacing w:before="105" w:after="105"/>
              <w:ind w:firstLine="560"/>
              <w:jc w:val="both"/>
            </w:pPr>
            <w:r>
              <w:rPr>
                <w:rFonts w:ascii="仿宋_GB2312" w:hAnsi="仿宋_GB2312" w:cs="仿宋_GB2312" w:eastAsia="仿宋_GB2312"/>
                <w:sz w:val="28"/>
              </w:rPr>
              <w:t>十二、回血功能</w:t>
            </w:r>
            <w:r>
              <w:rPr>
                <w:rFonts w:ascii="仿宋_GB2312" w:hAnsi="仿宋_GB2312" w:cs="仿宋_GB2312" w:eastAsia="仿宋_GB2312"/>
                <w:sz w:val="28"/>
              </w:rPr>
              <w:t>:用于肌内注射时必须有足够的空间完成查看回血功能。</w:t>
            </w:r>
          </w:p>
          <w:p>
            <w:pPr>
              <w:pStyle w:val="null3"/>
              <w:spacing w:before="105" w:after="105"/>
              <w:ind w:firstLine="560"/>
              <w:jc w:val="both"/>
            </w:pPr>
            <w:r>
              <w:rPr>
                <w:rFonts w:ascii="仿宋_GB2312" w:hAnsi="仿宋_GB2312" w:cs="仿宋_GB2312" w:eastAsia="仿宋_GB2312"/>
                <w:sz w:val="28"/>
              </w:rPr>
              <w:t>十三、温度影响：在</w:t>
            </w:r>
            <w:r>
              <w:rPr>
                <w:rFonts w:ascii="仿宋_GB2312" w:hAnsi="仿宋_GB2312" w:cs="仿宋_GB2312" w:eastAsia="仿宋_GB2312"/>
                <w:sz w:val="28"/>
              </w:rPr>
              <w:t>-25～40℃环境下储存，注射器的性能不受影响。</w:t>
            </w:r>
          </w:p>
          <w:p>
            <w:pPr>
              <w:pStyle w:val="null3"/>
              <w:spacing w:before="105" w:after="105"/>
              <w:ind w:firstLine="560"/>
              <w:jc w:val="both"/>
            </w:pPr>
            <w:r>
              <w:rPr>
                <w:rFonts w:ascii="仿宋_GB2312" w:hAnsi="仿宋_GB2312" w:cs="仿宋_GB2312" w:eastAsia="仿宋_GB2312"/>
                <w:sz w:val="28"/>
                <w:color w:val="333333"/>
              </w:rPr>
              <w:t>十四、</w:t>
            </w:r>
            <w:r>
              <w:rPr>
                <w:rFonts w:ascii="仿宋_GB2312" w:hAnsi="仿宋_GB2312" w:cs="仿宋_GB2312" w:eastAsia="仿宋_GB2312"/>
                <w:sz w:val="28"/>
              </w:rPr>
              <w:t>无菌实验：注射器应无菌，无致热原，应无溶血反应（溶血率</w:t>
            </w:r>
            <w:r>
              <w:rPr>
                <w:rFonts w:ascii="仿宋_GB2312" w:hAnsi="仿宋_GB2312" w:cs="仿宋_GB2312" w:eastAsia="仿宋_GB2312"/>
                <w:sz w:val="28"/>
              </w:rPr>
              <w:t>≤5%），应无急性全身毒性。</w:t>
            </w:r>
          </w:p>
          <w:p>
            <w:pPr>
              <w:pStyle w:val="null3"/>
              <w:spacing w:before="105" w:after="105"/>
              <w:ind w:firstLine="560"/>
              <w:jc w:val="both"/>
            </w:pPr>
            <w:r>
              <w:rPr>
                <w:rFonts w:ascii="仿宋_GB2312" w:hAnsi="仿宋_GB2312" w:cs="仿宋_GB2312" w:eastAsia="仿宋_GB2312"/>
                <w:sz w:val="28"/>
              </w:rPr>
              <w:t>十五、包装：单支注射器采用符合医用要求单独包装。</w:t>
            </w:r>
          </w:p>
          <w:p>
            <w:pPr>
              <w:pStyle w:val="null3"/>
              <w:spacing w:before="105" w:after="105"/>
              <w:ind w:firstLine="560"/>
              <w:jc w:val="both"/>
            </w:pPr>
            <w:r>
              <w:rPr>
                <w:rFonts w:ascii="仿宋_GB2312" w:hAnsi="仿宋_GB2312" w:cs="仿宋_GB2312" w:eastAsia="仿宋_GB2312"/>
                <w:sz w:val="28"/>
              </w:rPr>
              <w:t>十六、注射器的生产采用全自动生产线，确保产品质量稳定（提供自动化生产照片）。</w:t>
            </w:r>
          </w:p>
          <w:p>
            <w:pPr>
              <w:pStyle w:val="null3"/>
              <w:spacing w:before="105" w:after="105"/>
              <w:ind w:firstLine="560"/>
              <w:jc w:val="both"/>
            </w:pPr>
            <w:r>
              <w:rPr>
                <w:rFonts w:ascii="仿宋_GB2312" w:hAnsi="仿宋_GB2312" w:cs="仿宋_GB2312" w:eastAsia="仿宋_GB2312"/>
                <w:sz w:val="28"/>
              </w:rPr>
              <w:t>十七、送至交货地点需要有</w:t>
            </w:r>
            <w:r>
              <w:rPr>
                <w:rFonts w:ascii="仿宋_GB2312" w:hAnsi="仿宋_GB2312" w:cs="仿宋_GB2312" w:eastAsia="仿宋_GB2312"/>
                <w:sz w:val="28"/>
              </w:rPr>
              <w:t>24个月以上的有效期</w:t>
            </w:r>
          </w:p>
          <w:p>
            <w:pPr>
              <w:pStyle w:val="null3"/>
              <w:spacing w:before="105" w:after="105"/>
              <w:jc w:val="both"/>
            </w:pPr>
            <w:r>
              <w:rPr>
                <w:rFonts w:ascii="仿宋_GB2312" w:hAnsi="仿宋_GB2312" w:cs="仿宋_GB2312" w:eastAsia="仿宋_GB2312"/>
                <w:sz w:val="28"/>
                <w:b/>
              </w:rPr>
              <w:t>若为自毁型注射器在满足以上条款的基础上，仍需满足以下要求</w:t>
            </w:r>
          </w:p>
          <w:p>
            <w:pPr>
              <w:pStyle w:val="null3"/>
              <w:spacing w:before="105" w:after="105"/>
              <w:jc w:val="both"/>
            </w:pPr>
            <w:r>
              <w:rPr>
                <w:rFonts w:ascii="仿宋_GB2312" w:hAnsi="仿宋_GB2312" w:cs="仿宋_GB2312" w:eastAsia="仿宋_GB2312"/>
                <w:sz w:val="28"/>
              </w:rPr>
              <w:t>溶药功能不得由于操作的失误而提前自毁。</w:t>
            </w:r>
          </w:p>
          <w:p>
            <w:pPr>
              <w:pStyle w:val="null3"/>
              <w:jc w:val="both"/>
            </w:pPr>
            <w:r>
              <w:rPr>
                <w:rFonts w:ascii="仿宋_GB2312" w:hAnsi="仿宋_GB2312" w:cs="仿宋_GB2312" w:eastAsia="仿宋_GB2312"/>
                <w:sz w:val="30"/>
                <w:b/>
              </w:rPr>
              <w:t>二、其他要求</w:t>
            </w:r>
          </w:p>
          <w:p>
            <w:pPr>
              <w:pStyle w:val="null3"/>
              <w:ind w:firstLine="560"/>
              <w:jc w:val="both"/>
            </w:pPr>
            <w:r>
              <w:rPr>
                <w:rFonts w:ascii="仿宋_GB2312" w:hAnsi="仿宋_GB2312" w:cs="仿宋_GB2312" w:eastAsia="仿宋_GB2312"/>
                <w:sz w:val="28"/>
              </w:rPr>
              <w:t>投标人应提供样品，投标时应包装密封。样品上应贴牢注明投标人名称的标签。未提供样品或提供数量不足的，视为放弃此次投标。投标人若中选，其所供货物应与样品一致，否则，采购人有权拒收，并追究责任。</w:t>
            </w:r>
          </w:p>
          <w:p>
            <w:pPr>
              <w:pStyle w:val="null3"/>
              <w:ind w:firstLine="560"/>
              <w:jc w:val="both"/>
            </w:pPr>
            <w:r>
              <w:rPr>
                <w:rFonts w:ascii="仿宋_GB2312" w:hAnsi="仿宋_GB2312" w:cs="仿宋_GB2312" w:eastAsia="仿宋_GB2312"/>
                <w:sz w:val="28"/>
              </w:rPr>
              <w:t>样品：注射器产品质量符合</w:t>
            </w:r>
            <w:r>
              <w:rPr>
                <w:rFonts w:ascii="仿宋_GB2312" w:hAnsi="仿宋_GB2312" w:cs="仿宋_GB2312" w:eastAsia="仿宋_GB2312"/>
                <w:sz w:val="28"/>
              </w:rPr>
              <w:t>GB15810-2001 和 GB∕T 18457-2015；输液器产品质量符合GB8368-2005标准。</w:t>
            </w:r>
          </w:p>
          <w:p>
            <w:pPr>
              <w:pStyle w:val="null3"/>
              <w:ind w:firstLine="560"/>
              <w:jc w:val="both"/>
            </w:pPr>
            <w:r>
              <w:rPr>
                <w:rFonts w:ascii="仿宋_GB2312" w:hAnsi="仿宋_GB2312" w:cs="仿宋_GB2312" w:eastAsia="仿宋_GB2312"/>
                <w:sz w:val="28"/>
              </w:rPr>
              <w:t>注射器规格单独包装，包装符合国家环保要求，密封完好。</w:t>
            </w:r>
          </w:p>
          <w:p>
            <w:pPr>
              <w:pStyle w:val="null3"/>
              <w:ind w:firstLine="560"/>
              <w:jc w:val="both"/>
            </w:pPr>
            <w:r>
              <w:rPr>
                <w:rFonts w:ascii="仿宋_GB2312" w:hAnsi="仿宋_GB2312" w:cs="仿宋_GB2312" w:eastAsia="仿宋_GB2312"/>
                <w:sz w:val="28"/>
              </w:rPr>
              <w:t>产品消毒标准符合消毒</w:t>
            </w:r>
            <w:r>
              <w:rPr>
                <w:rFonts w:ascii="仿宋_GB2312" w:hAnsi="仿宋_GB2312" w:cs="仿宋_GB2312" w:eastAsia="仿宋_GB2312"/>
                <w:sz w:val="28"/>
              </w:rPr>
              <w:t>GB18279。</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合同签订后15日内完成供货及验收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（1）交货验收时，乙方须提供质检部门产品抽样检查合格的检测报告（或生产厂家自检报告）及所提供货物（产品）的合格证、 装箱清单、配件、随机工具、用户使用手册（产品使用说明书）、保修卡等资料交付给甲方。 （2）到货验收：货物到达后，按合同第一条款的货物清单和装箱单经行逐一采核对， 同时检查货物外观，是否有划痕或破损的，并做好相应记录。 （3）货物到达交货地点后，由使用单位根据合同对货物（产品）的名称、品牌、规格、型号、产地、数量等进行检查。（4）质量验收合格，双方签署质量验收报告。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24个月以上的有效期。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一般与合同款项的支付相关，不要超出《民法典》中对于违约的责任上限。如若发生争议，双方应积极协调，尽快处理。如协调无果应当在发生合同所在地法院进行诉讼。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①若成交产品为中小企业，残疾人福利性单位或监狱企业生产时预付款执行政府采购相关文件规定:合同签订后达到付款条件起 15 日内，预付合同总金额的40.00%;验收合格后，达到付款条件起 10 日内，支付合同总金60.00%. ②投标人提供的样品，投标时应包装密封。样品上应贴牢注明投标人名称的标签。未提供样品或提供数量不足的，视为放弃此次投标。应在投标截止之日前邮寄到代理公司（邮寄地址：西安市雁塔区天地源悦熙广场2号楼19层11901室；收件人：孙轩18192110669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或2024年度经审计的财务报告（包括“四表一注”，即资产负债表、利润表、现金流量表、所有者权益变动表及其附注，成立时间至提交投标响应文件截止时间不足一年的可提供成立后任意时段的资产负债表），或其开标前六个月内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代表人身份证明书，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生产厂家参加投标的须提供《体外诊断试剂生产许可证》或《医疗器械生产许可证》，代理商参加投标的须提供《经营许可证》或《体外诊断试剂经营许可证》或《医疗器械经营许可证》，并提供产品制造商加盖公章的《体外诊断试剂生产许可证》或《医疗器械生产许可证》；②所投产品如属于医疗器械应出具医疗器械注册证或医疗器械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①税收缴纳证明：提供供应商自开标前一年内至少一个月已缴纳的增值税或营业税或企业所得税的凭据或税务机关开具的完税证明；依法免税的应提供相关文件证明; ②社会保障资金缴纳证明：提供供应商自开标前一年内已缴纳的至少一个月的社会保障资金缴存单据或社保机构开具的社会保险参保缴费情况证明，依法不需要缴纳社会保障资金的单位应提供相关证明材料；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投标报价是否超过采购预算（或最高限价）；投标有效期是否符合招标文件的要求。</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是否符合法律、法规和招标文件规定，无其他无效投标情形的。</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依据各投标人响应的投标产品参数要求等情况进行评审：满足全部参数要求的计21分；每一项负偏离扣1分，扣完为止。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实施步骤、进度计划和保证措施</w:t>
            </w:r>
          </w:p>
        </w:tc>
        <w:tc>
          <w:tcPr>
            <w:tcW w:type="dxa" w:w="2492"/>
          </w:tcPr>
          <w:p>
            <w:pPr>
              <w:pStyle w:val="null3"/>
            </w:pPr>
            <w:r>
              <w:rPr>
                <w:rFonts w:ascii="仿宋_GB2312" w:hAnsi="仿宋_GB2312" w:cs="仿宋_GB2312" w:eastAsia="仿宋_GB2312"/>
              </w:rPr>
              <w:t>实施步骤、进度计划和保证措施方案内容全面详细、阐述条理清晰详尽、完全符合本项目采购需求，能有效保障本项目实施的得（3-6]分。 实施步骤、进度计划和保证措施方案内容不够详细、阐述条理不清晰、符合本项目基本要求得（1-3]分。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安全控制方案及质量措施</w:t>
            </w:r>
          </w:p>
        </w:tc>
        <w:tc>
          <w:tcPr>
            <w:tcW w:type="dxa" w:w="2492"/>
          </w:tcPr>
          <w:p>
            <w:pPr>
              <w:pStyle w:val="null3"/>
            </w:pPr>
            <w:r>
              <w:rPr>
                <w:rFonts w:ascii="仿宋_GB2312" w:hAnsi="仿宋_GB2312" w:cs="仿宋_GB2312" w:eastAsia="仿宋_GB2312"/>
              </w:rPr>
              <w:t>安全控制方案及质量措施方案内容全面详细、阐述条理清晰详尽、完全符合本项目采购需求，能有效保障本项目实施的得（3-6]分。 安全控制方案及质量措施方案内容不够详细、阐述条理不清晰、符合本项目基本要求得（1-3]分。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供货组织安排，包括仓储、运输、交付等内容</w:t>
            </w:r>
          </w:p>
        </w:tc>
        <w:tc>
          <w:tcPr>
            <w:tcW w:type="dxa" w:w="2492"/>
          </w:tcPr>
          <w:p>
            <w:pPr>
              <w:pStyle w:val="null3"/>
            </w:pPr>
            <w:r>
              <w:rPr>
                <w:rFonts w:ascii="仿宋_GB2312" w:hAnsi="仿宋_GB2312" w:cs="仿宋_GB2312" w:eastAsia="仿宋_GB2312"/>
              </w:rPr>
              <w:t>供货组织安排，包括仓储、运输、交付方案内容全面详细、阐述条理清晰详尽、完全符合本项目采购需求，能有效保障本项目实施的得（3-5]分。 供货组织安排，包括仓储、运输、交付方案内容不够详细、阐述条理不清晰、符合本项目基本要求得（1-3]分。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产品质量承诺</w:t>
            </w:r>
          </w:p>
        </w:tc>
        <w:tc>
          <w:tcPr>
            <w:tcW w:type="dxa" w:w="2492"/>
          </w:tcPr>
          <w:p>
            <w:pPr>
              <w:pStyle w:val="null3"/>
            </w:pPr>
            <w:r>
              <w:rPr>
                <w:rFonts w:ascii="仿宋_GB2312" w:hAnsi="仿宋_GB2312" w:cs="仿宋_GB2312" w:eastAsia="仿宋_GB2312"/>
              </w:rPr>
              <w:t>供应商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得5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货源渠道来源正规，能提供本采购包全部产品来源渠道合法的证明文件。产品供货渠道正常、货物来源质量有保证，检验手续完善、合法有效，无产权纠纷，根据所提供的证明材料情况（如为经销商须提供销售协议、代理协议、原厂授权等证明材料），提供上述材料或能证明完整的授权链的得5分，每缺一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验收方案内容全面详细、阐述条理清晰详尽、完全符合本项目采购需求，能有效保障本项目实施的得（2-4]分。 验收方案内容不够详细、阐述条理不清晰、符合本项目基本要求得（1-2]分。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供应商具有售后服务能力（包括本地化服务能力、技术支持能力、在线沟通协助能力等） 1.根据供应商提供的本地化服务能力证明材料（包括但不限于本地化服务网点分布、本地化服务内容等方面）由磋商小组横向比较综合赋（3-6]分； 2.根据供应商提供的技术支持能力、在线沟通协助能力证明材料（包括但不限于技术咨询服务响应时间、产品售后的更换及时性等方面）由磋商小组横向比较综合赋（1-3]分；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提供2020年1月至今同类项目业绩，投标文件中附有其合同文件为依据（提供加盖供应商红色公章的完整复印件，合同以签订时间为准），每提供一份合同得2分，满分6分。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人提供样品，样品针尖斜面光滑且没有毛刺、弯钩，活塞滑动均匀且阻力适中、针管管壁厚薄适中，透明度好，完全满足采购人使用需求得（4-6]分；样品针尖基本斜面光滑没有毛刺、弯钩，活塞滑动、针管管壁厚薄基本适中，透明度较好基本满足采购人使用需求计（2-4]分；样品针尖有轻微毛刺、弯钩，活塞滑动、针管管壁厚、透明度较差，基本满足采购人使用需求但有细微偏离计（1-2]，不满足使用要求或未提供、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 2、落实采购政策：详见价格扣除。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