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版本号：慧科ZX-CF04128BH20250527001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陕西省电焊机‘加芯赋码’安全监管建设项目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慧科ZX-CF04128BH</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陕西省电焊机‘加芯赋码’安全监管建设项目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慧科ZX-CF04128BH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陕西省电焊机‘加芯赋码’安全监管建设项目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国务院安委会《2025年工作要点》提出“推进应用信息化管理平台，推动对焊机进行‘加芯赋码’、‘一机一码’技术改造”工作。国务院安委会《关于加强人员密集场所动火作业安全管理的若干措施》明确“各地区要推动对旧焊机进行‘加芯赋码’或其他‘一机一码’技术改造”。为解决电焊机作业安全监管难题，陕西省应急管理厅认真落实国家有关要求，借鉴兄弟省份的经验做法，提出对电焊机实施“加芯赋码”管理，提高电焊机使用的安全性，有效防范遏制事故发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采购包1（陕西省电焊机“加芯赋码”安全监管建设）：属于专门面向中小企业采购。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2023年度或2024年度经审计的完整财务报告或其开标前三个月内基本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4、社会保障资金缴纳证明：社会保障资金缴纳证明：提供投标人开标前六个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5、税收缴纳证明：提供投标人开标前六个月至今已缴纳任意一个月完税凭证或税务机关开具的完税证明（含营业税、企业所得税、增值税任意一种即可）；依法免税的应提供相关文件证明。</w:t>
      </w:r>
    </w:p>
    <w:p>
      <w:pPr>
        <w:pStyle w:val="null3"/>
      </w:pPr>
      <w:r>
        <w:rPr>
          <w:rFonts w:ascii="仿宋_GB2312" w:hAnsi="仿宋_GB2312" w:cs="仿宋_GB2312" w:eastAsia="仿宋_GB2312"/>
        </w:rPr>
        <w:t>6、信用记录：投标人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7、无重大违法记录声明：投标人应具备良好的商业信誉，提供在参加政府采购活动前3年内在经营活动中无重大违法记录的书面声明。</w:t>
      </w:r>
    </w:p>
    <w:p>
      <w:pPr>
        <w:pStyle w:val="null3"/>
      </w:pPr>
      <w:r>
        <w:rPr>
          <w:rFonts w:ascii="仿宋_GB2312" w:hAnsi="仿宋_GB2312" w:cs="仿宋_GB2312" w:eastAsia="仿宋_GB2312"/>
        </w:rPr>
        <w:t>8、专业技术能力：提供具有履行本合同所必需的设备和专业技术能力的说明及承诺。</w:t>
      </w:r>
    </w:p>
    <w:p>
      <w:pPr>
        <w:pStyle w:val="null3"/>
      </w:pPr>
      <w:r>
        <w:rPr>
          <w:rFonts w:ascii="仿宋_GB2312" w:hAnsi="仿宋_GB2312" w:cs="仿宋_GB2312" w:eastAsia="仿宋_GB2312"/>
        </w:rPr>
        <w:t>9、控股关系：单位负责人为同一人或者存在直接控股、管理关系的不同投标人，不得参加同一合同项下的政府采购活动。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10、联合体形式：本项目不接受联合体投标。</w:t>
      </w:r>
    </w:p>
    <w:p>
      <w:pPr>
        <w:pStyle w:val="null3"/>
      </w:pPr>
      <w:r>
        <w:rPr>
          <w:rFonts w:ascii="仿宋_GB2312" w:hAnsi="仿宋_GB2312" w:cs="仿宋_GB2312" w:eastAsia="仿宋_GB2312"/>
        </w:rPr>
        <w:t>11、中小企业声明函：本项目专门面向中小企业采购，预留份额为整体预留，投标人须填写《中小企业声明函》。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陕西省西安市雁塔区高新区锦业一路研祥城市广场C座3层306室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18509206609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说明：在签订合同后10日内，乙方向甲方支付或提供合同总价款的5%作为履约保证金（履约保证金提交的方式为银行或金融机构出具的独立保函）。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代理服务费收费标准：1、招标代理服务费按约定由中标人支付，领取中标通知书前，由中标人向采购代理机构缴纳代理服务费，一次性付清。 2、招标代理服务费以中标金额为基数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 3、代理服务费缴纳账户： 开户名称：陕西慧科工程管理咨询有限公司 开户银行：交通银行股份有限公司西安光华路支行 银行账户：6113 0113 5013 0018 4142 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w:t>
      </w:r>
    </w:p>
    <w:p>
      <w:pPr>
        <w:pStyle w:val="null3"/>
      </w:pPr>
      <w:r>
        <w:rPr>
          <w:rFonts w:ascii="仿宋_GB2312" w:hAnsi="仿宋_GB2312" w:cs="仿宋_GB2312" w:eastAsia="仿宋_GB2312"/>
        </w:rPr>
        <w:t>联系电话：18509206609</w:t>
      </w:r>
    </w:p>
    <w:p>
      <w:pPr>
        <w:pStyle w:val="null3"/>
      </w:pPr>
      <w:r>
        <w:rPr>
          <w:rFonts w:ascii="仿宋_GB2312" w:hAnsi="仿宋_GB2312" w:cs="仿宋_GB2312" w:eastAsia="仿宋_GB2312"/>
        </w:rPr>
        <w:t>地址：陕西省西安市雁塔区高新区锦业一路研祥城市广场C座3层306室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务院安委会《2025年工作要点》提出“推进应用信息化管理平台，推动对焊机进行‘加芯赋码’、‘一机一码’技术改造”工作。国务院安委会《关于加强人员密集场所动火作业安全管理的若干措施》明确“各地区要推动对旧焊机进行‘加芯赋码’或其他‘一机一码’技术改造”。为解决电焊机作业安全监管难题，陕西省应急管理厅认真落实国家有关要求，借鉴兄弟省份的经验做法，提出对电焊机实施“加芯赋码”管理，提高电焊机使用的安全性，有效防范遏制事故发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8,000,000.00</w:t>
      </w:r>
    </w:p>
    <w:p>
      <w:pPr>
        <w:pStyle w:val="null3"/>
      </w:pPr>
      <w:r>
        <w:rPr>
          <w:rFonts w:ascii="仿宋_GB2312" w:hAnsi="仿宋_GB2312" w:cs="仿宋_GB2312" w:eastAsia="仿宋_GB2312"/>
        </w:rPr>
        <w:t>采购包最高限价（元）: 8,000,000.00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陕西省电焊机‘加芯赋码’安全监管建设项目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标的名称：陕西省电焊机‘加芯赋码’安全监管建设项目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一、建设内容</w:t>
            </w:r>
          </w:p>
          <w:tbl>
            <w:tblPr>
              <w:tblBorders>
                <w:top w:val="none" w:color="000000" w:sz="4"/>
                <w:left w:val="none" w:color="000000" w:sz="4"/>
                <w:bottom w:val="none" w:color="000000" w:sz="4"/>
                <w:right w:val="none" w:color="000000" w:sz="4"/>
                <w:insideH w:val="none"/>
                <w:insideV w:val="none"/>
              </w:tblBorders>
            </w:tblPr>
            <w:tblGrid>
              <w:gridCol w:w="251"/>
              <w:gridCol w:w="417"/>
              <w:gridCol w:w="552"/>
              <w:gridCol w:w="1323"/>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（一）应用平台建设</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功能描述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监管平台</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首页屏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驾驶舱首页，通过图形、报表、地图等形式，全面展现辖区涉焊数据态势。</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涉焊单位分析屏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通过图形、报表、地图等形式，全面展现辖区涉焊单位数据态势，支持通过电子围栏技术，查看重点场所区域范围。</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焊机分析屏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通过图形、报表、地图等形式，全面展现辖区数字焊机数据态势，支持查看流动焊机的流动轨迹。</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焊工分析屏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通过图形、报表、地图等形式，全面展现辖区持证焊工数据态势。</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作业分析屏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通过图形、报表、地图等形式，全面展现辖区作业数据态势。</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通过图形、报表、地图等形式，全面展现辖区服务数据态势。</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预警分析屏</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通过图形、报表、地图等形式，全面展现辖区预警数据态势，支持查看在重点场所电子围栏内的作业焊机信息。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后台管理</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涉焊底数管理</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对涉焊基础数据进行管理，功能包括：涉焊企业、重点场所</w:t>
                  </w:r>
                  <w:r>
                    <w:rPr>
                      <w:rFonts w:ascii="仿宋_GB2312" w:hAnsi="仿宋_GB2312" w:cs="仿宋_GB2312" w:eastAsia="仿宋_GB2312"/>
                      <w:sz w:val="24"/>
                    </w:rPr>
                    <w:t>/企业、企业管理员、企业安管员、作业员管理、电焊学员、身份审核、设备管理、设备组合、干部队伍、干企联系、安装员管理、设备安装记录、企业安装统计、设备生产企业管理。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实时监测预警</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对焊机作业数据进行实时监测，功能包括：企业信息变更、设备信息变更、设备操作记录、安全扫码记录、设备组合记录、监测模型运行、监测模型配置、预警事件管理、监测事件管理。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重点管控预案</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对重点时期、重点企业、重点流程进行管理，功能包括：三级设备动火流程、重点场所</w:t>
                  </w:r>
                  <w:r>
                    <w:rPr>
                      <w:rFonts w:ascii="仿宋_GB2312" w:hAnsi="仿宋_GB2312" w:cs="仿宋_GB2312" w:eastAsia="仿宋_GB2312"/>
                      <w:sz w:val="24"/>
                    </w:rPr>
                    <w:t>/企业动火流程、作业强制提醒、特殊时期动火管控</w:t>
                  </w:r>
                  <w:r>
                    <w:rPr>
                      <w:rFonts w:ascii="仿宋_GB2312" w:hAnsi="仿宋_GB2312" w:cs="仿宋_GB2312" w:eastAsia="仿宋_GB2312"/>
                      <w:sz w:val="24"/>
                    </w:rPr>
                    <w:t>。</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问题整改管理</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对企业问题整改进行管理，功能包括：问题整改、重点任务、举报信息。</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专业培训管理</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对涉焊学习进行管理，功能包括：学习材料、知识学习、考试管理。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岗位供需市场</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提供岗位供需市场服务，链接企业用工需求和焊工求职需求，功能包括：零工招聘、全职招聘、焊工求职。</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系统综合服务</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功能包括：消息通知、报表中心。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系统管理</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系统管理中心</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系统底层维护功能，功能包括：数据字典、配置管理、部门管理、菜单管理、角色管理、用户管理、权限管理。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行为风险控制</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功能包括：行为风险规则管理、行为风险场景管理。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安全审计管理</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功能包括：登录日志、权限变更、操作审计、审计归集。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日志管理中心</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功能包括：系统日志、业务日志。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移动应用</w:t>
                  </w:r>
                  <w:r>
                    <w:br/>
                  </w:r>
                  <w:r>
                    <w:rPr>
                      <w:rFonts w:ascii="仿宋_GB2312" w:hAnsi="仿宋_GB2312" w:cs="仿宋_GB2312" w:eastAsia="仿宋_GB2312"/>
                      <w:sz w:val="24"/>
                    </w:rPr>
                    <w:t>（</w:t>
                  </w:r>
                  <w:r>
                    <w:rPr>
                      <w:rFonts w:ascii="仿宋_GB2312" w:hAnsi="仿宋_GB2312" w:cs="仿宋_GB2312" w:eastAsia="仿宋_GB2312"/>
                      <w:sz w:val="24"/>
                    </w:rPr>
                    <w:t>微信</w:t>
                  </w:r>
                  <w:r>
                    <w:rPr>
                      <w:rFonts w:ascii="仿宋_GB2312" w:hAnsi="仿宋_GB2312" w:cs="仿宋_GB2312" w:eastAsia="仿宋_GB2312"/>
                      <w:sz w:val="24"/>
                    </w:rPr>
                    <w:t>小程序）</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通用功能</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通用功能包括：身份注册、身份认证登录、扫一扫、身份切换、要闻通知。</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作业员端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为焊工提供平台使用入口，可通过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小程序上传从业资格证件进行身份认证、扫码开机（</w:t>
                  </w:r>
                  <w:r>
                    <w:rPr>
                      <w:rFonts w:ascii="仿宋_GB2312" w:hAnsi="仿宋_GB2312" w:cs="仿宋_GB2312" w:eastAsia="仿宋_GB2312"/>
                      <w:sz w:val="24"/>
                    </w:rPr>
                    <w:t>4G扫码、蓝牙扫码、重点流程扫码）、培训学习、工作求职等，功能包括：电焊作业“十不准”、电气焊作业“九必须”、焊工、培训、消息中心、招聘市场、</w:t>
                  </w:r>
                  <w:r>
                    <w:rPr>
                      <w:rFonts w:ascii="仿宋_GB2312" w:hAnsi="仿宋_GB2312" w:cs="仿宋_GB2312" w:eastAsia="仿宋_GB2312"/>
                      <w:sz w:val="24"/>
                    </w:rPr>
                    <w:t>临</w:t>
                  </w:r>
                  <w:r>
                    <w:rPr>
                      <w:rFonts w:ascii="仿宋_GB2312" w:hAnsi="仿宋_GB2312" w:cs="仿宋_GB2312" w:eastAsia="仿宋_GB2312"/>
                      <w:sz w:val="24"/>
                    </w:rPr>
                    <w:t>工市场、知识答疑、我的政策、扫码开机。</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企业安管员端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为企业安管员提供平台使用入口，可通过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小程序实现整改企业问题、协同焊工扫码等操作，功能包括：协同扫码、扫码记录、动火申请、预案管理、问题处理、消息中心。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企业管理员端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为企业管理员提供平台使用入口，可通过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小程序实现统计考勤数据、修改企业信息、查看企业政策、发布岗位需求等操作，功能包括：企业信息、全职招聘、临工市场、政策汇、考勤分析、消息中心。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监管队伍端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为联企干部提供平台使用入口，可通过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小程序实现问题发现上报、问题整改核验、走访巡查、任务认领等操作，功能包括：协同扫码、扫码记录、动火审批、预案管理、智联干企、企业走访、举报核验、任务管理、消息中心、干部管理。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安装员端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为安装员提供平台使用入口，可通过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小程序实现</w:t>
                  </w:r>
                  <w:r>
                    <w:rPr>
                      <w:rFonts w:ascii="仿宋_GB2312" w:hAnsi="仿宋_GB2312" w:cs="仿宋_GB2312" w:eastAsia="仿宋_GB2312"/>
                      <w:sz w:val="24"/>
                    </w:rPr>
                    <w:t>“加芯赋码”登记、开关机测试等工作，功能包括：扫码登记、开机测试、关机测试</w:t>
                  </w:r>
                  <w:r>
                    <w:rPr>
                      <w:rFonts w:ascii="仿宋_GB2312" w:hAnsi="仿宋_GB2312" w:cs="仿宋_GB2312" w:eastAsia="仿宋_GB2312"/>
                      <w:sz w:val="24"/>
                    </w:rPr>
                    <w:t>。</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监管员端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为业务监管部门提供平台使用入口，可通过</w:t>
                  </w:r>
                  <w:r>
                    <w:rPr>
                      <w:rFonts w:ascii="仿宋_GB2312" w:hAnsi="仿宋_GB2312" w:cs="仿宋_GB2312" w:eastAsia="仿宋_GB2312"/>
                      <w:sz w:val="24"/>
                    </w:rPr>
                    <w:t>微信</w:t>
                  </w:r>
                  <w:r>
                    <w:rPr>
                      <w:rFonts w:ascii="仿宋_GB2312" w:hAnsi="仿宋_GB2312" w:cs="仿宋_GB2312" w:eastAsia="仿宋_GB2312"/>
                      <w:sz w:val="24"/>
                    </w:rPr>
                    <w:t>小程序实现数据统计等工作，功能包括：数据统计、以图索焊</w:t>
                  </w:r>
                  <w:r>
                    <w:rPr>
                      <w:rFonts w:ascii="仿宋_GB2312" w:hAnsi="仿宋_GB2312" w:cs="仿宋_GB2312" w:eastAsia="仿宋_GB2312"/>
                      <w:sz w:val="24"/>
                    </w:rPr>
                    <w:t>、证书核验、警示案例、涉焊单位管理</w:t>
                  </w:r>
                  <w:r>
                    <w:rPr>
                      <w:rFonts w:ascii="仿宋_GB2312" w:hAnsi="仿宋_GB2312" w:cs="仿宋_GB2312" w:eastAsia="仿宋_GB2312"/>
                      <w:sz w:val="24"/>
                    </w:rPr>
                    <w:t>。</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设备维稳中心</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设备管理机制</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辖区内芯片通讯资源和应用场景通用能力的封装服务，具备远程升级芯片嵌入式软件、协议解析、数据加解密传输、负载均衡保障等能力，机制包含：设备通信机制、审计管理服务、协议解析、数据加解密、设备信条传输、设备位置传输、控制设备、设备管理、</w:t>
                  </w:r>
                  <w:r>
                    <w:rPr>
                      <w:rFonts w:ascii="仿宋_GB2312" w:hAnsi="仿宋_GB2312" w:cs="仿宋_GB2312" w:eastAsia="仿宋_GB2312"/>
                      <w:sz w:val="24"/>
                    </w:rPr>
                    <w:t>适应</w:t>
                  </w:r>
                  <w:r>
                    <w:rPr>
                      <w:rFonts w:ascii="仿宋_GB2312" w:hAnsi="仿宋_GB2312" w:cs="仿宋_GB2312" w:eastAsia="仿宋_GB2312"/>
                      <w:sz w:val="24"/>
                    </w:rPr>
                    <w:t>主备负载均衡。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应急响应机制</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用于支撑突发的网络环境波动、断网等特殊情况下，启动应急响应方案，解除智能物联芯片对焊机的控制，支撑企业</w:t>
                  </w:r>
                  <w:r>
                    <w:rPr>
                      <w:rFonts w:ascii="仿宋_GB2312" w:hAnsi="仿宋_GB2312" w:cs="仿宋_GB2312" w:eastAsia="仿宋_GB2312"/>
                      <w:sz w:val="24"/>
                    </w:rPr>
                    <w:t>/焊工可继续正常作业，不影响正常生产，功能包括应急响应服务、自动触发应急、触发前实时监测。</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数据资源中心</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专题库建设</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建设支撑平台运行、存储的各类专题库。</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数据接入</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接入应急部门焊工证件库，获取陕西省应急部门颁发的熔化焊接与热切割作业证数据。</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数据共享</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预留数据共享接口，包括：企业、持证焊工、作业记录等数据信息的有条件共享接口，以满足业务单位的数据共享要求</w:t>
                  </w:r>
                  <w:r>
                    <w:rPr>
                      <w:rFonts w:ascii="仿宋_GB2312" w:hAnsi="仿宋_GB2312" w:cs="仿宋_GB2312" w:eastAsia="仿宋_GB2312"/>
                      <w:sz w:val="24"/>
                    </w:rPr>
                    <w:t>。</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17"/>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数据治理</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提供数据接入、标准体系建设、数据清洗以及治理等工作。</w:t>
                  </w:r>
                </w:p>
                <w:p>
                  <w:pPr>
                    <w:pStyle w:val="null3"/>
                    <w:jc w:val="left"/>
                  </w:pPr>
                  <w:r>
                    <w:rPr>
                      <w:rFonts w:ascii="仿宋_GB2312" w:hAnsi="仿宋_GB2312" w:cs="仿宋_GB2312" w:eastAsia="仿宋_GB2312"/>
                      <w:sz w:val="24"/>
                      <w:b/>
                    </w:rPr>
                    <w:t>用户信息对接规范性要求：</w:t>
                  </w:r>
                  <w:r>
                    <w:rPr>
                      <w:rFonts w:ascii="仿宋_GB2312" w:hAnsi="仿宋_GB2312" w:cs="仿宋_GB2312" w:eastAsia="仿宋_GB2312"/>
                      <w:sz w:val="24"/>
                    </w:rPr>
                    <w:t>符合《应急管理部身份管理系统级联接入接口规范》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性能及存储要求</w:t>
                  </w:r>
                </w:p>
              </w:tc>
              <w:tc>
                <w:tcPr>
                  <w:tcW w:type="dxa" w:w="18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、存储要求：</w:t>
                  </w:r>
                  <w:r>
                    <w:rPr>
                      <w:rFonts w:ascii="仿宋_GB2312" w:hAnsi="仿宋_GB2312" w:cs="仿宋_GB2312" w:eastAsia="仿宋_GB2312"/>
                      <w:sz w:val="24"/>
                    </w:rPr>
                    <w:t>产品定制初始运行存储资源需求为</w:t>
                  </w:r>
                  <w:r>
                    <w:rPr>
                      <w:rFonts w:ascii="仿宋_GB2312" w:hAnsi="仿宋_GB2312" w:cs="仿宋_GB2312" w:eastAsia="仿宋_GB2312"/>
                      <w:sz w:val="24"/>
                    </w:rPr>
                    <w:t>10</w:t>
                  </w:r>
                  <w:r>
                    <w:rPr>
                      <w:rFonts w:ascii="仿宋_GB2312" w:hAnsi="仿宋_GB2312" w:cs="仿宋_GB2312" w:eastAsia="仿宋_GB2312"/>
                      <w:sz w:val="24"/>
                    </w:rPr>
                    <w:t xml:space="preserve">00G；数据存储≥ </w:t>
                  </w:r>
                  <w:r>
                    <w:rPr>
                      <w:rFonts w:ascii="仿宋_GB2312" w:hAnsi="仿宋_GB2312" w:cs="仿宋_GB2312" w:eastAsia="仿宋_GB2312"/>
                      <w:sz w:val="24"/>
                    </w:rPr>
                    <w:t>24</w:t>
                  </w:r>
                  <w:r>
                    <w:rPr>
                      <w:rFonts w:ascii="仿宋_GB2312" w:hAnsi="仿宋_GB2312" w:cs="仿宋_GB2312" w:eastAsia="仿宋_GB2312"/>
                      <w:sz w:val="24"/>
                    </w:rPr>
                    <w:t>个月；</w:t>
                  </w:r>
                </w:p>
                <w:p>
                  <w:pPr>
                    <w:pStyle w:val="null3"/>
                    <w:jc w:val="left"/>
                  </w:pPr>
                  <w:r>
                    <w:rPr>
                      <w:rFonts w:ascii="仿宋_GB2312" w:hAnsi="仿宋_GB2312" w:cs="仿宋_GB2312" w:eastAsia="仿宋_GB2312"/>
                      <w:sz w:val="24"/>
                      <w:b/>
                    </w:rPr>
                    <w:t>2、系统响应时间：</w:t>
                  </w:r>
                  <w:r>
                    <w:rPr>
                      <w:rFonts w:ascii="仿宋_GB2312" w:hAnsi="仿宋_GB2312" w:cs="仿宋_GB2312" w:eastAsia="仿宋_GB2312"/>
                      <w:sz w:val="24"/>
                    </w:rPr>
                    <w:t>在</w:t>
                  </w:r>
                  <w:r>
                    <w:rPr>
                      <w:rFonts w:ascii="仿宋_GB2312" w:hAnsi="仿宋_GB2312" w:cs="仿宋_GB2312" w:eastAsia="仿宋_GB2312"/>
                      <w:sz w:val="24"/>
                    </w:rPr>
                    <w:t>1000</w:t>
                  </w:r>
                  <w:r>
                    <w:rPr>
                      <w:rFonts w:ascii="仿宋_GB2312" w:hAnsi="仿宋_GB2312" w:cs="仿宋_GB2312" w:eastAsia="仿宋_GB2312"/>
                      <w:sz w:val="24"/>
                    </w:rPr>
                    <w:t>并发登录用户数时</w:t>
                  </w:r>
                  <w:r>
                    <w:rPr>
                      <w:rFonts w:ascii="仿宋_GB2312" w:hAnsi="仿宋_GB2312" w:cs="仿宋_GB2312" w:eastAsia="仿宋_GB2312"/>
                      <w:sz w:val="24"/>
                    </w:rPr>
                    <w:t>≤1秒；</w:t>
                  </w:r>
                </w:p>
                <w:p>
                  <w:pPr>
                    <w:pStyle w:val="null3"/>
                    <w:jc w:val="left"/>
                  </w:pPr>
                  <w:r>
                    <w:rPr>
                      <w:rFonts w:ascii="仿宋_GB2312" w:hAnsi="仿宋_GB2312" w:cs="仿宋_GB2312" w:eastAsia="仿宋_GB2312"/>
                      <w:sz w:val="24"/>
                      <w:b/>
                    </w:rPr>
                    <w:t>3、与部级统一身份认证系统用户信息同步率：</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b/>
                    </w:rPr>
                    <w:t>4、用户信息同步时间：</w:t>
                  </w:r>
                  <w:r>
                    <w:rPr>
                      <w:rFonts w:ascii="仿宋_GB2312" w:hAnsi="仿宋_GB2312" w:cs="仿宋_GB2312" w:eastAsia="仿宋_GB2312"/>
                      <w:sz w:val="24"/>
                    </w:rPr>
                    <w:t>≤1小时；</w:t>
                  </w:r>
                </w:p>
                <w:p>
                  <w:pPr>
                    <w:pStyle w:val="null3"/>
                    <w:jc w:val="left"/>
                  </w:pPr>
                  <w:r>
                    <w:rPr>
                      <w:rFonts w:ascii="仿宋_GB2312" w:hAnsi="仿宋_GB2312" w:cs="仿宋_GB2312" w:eastAsia="仿宋_GB2312"/>
                      <w:sz w:val="24"/>
                      <w:b/>
                    </w:rPr>
                    <w:t>5、统一用户管理系统用户机构容量：</w:t>
                  </w:r>
                  <w:r>
                    <w:rPr>
                      <w:rFonts w:ascii="仿宋_GB2312" w:hAnsi="仿宋_GB2312" w:cs="仿宋_GB2312" w:eastAsia="仿宋_GB2312"/>
                      <w:sz w:val="24"/>
                    </w:rPr>
                    <w:t>≥5万个用户、</w:t>
                  </w:r>
                  <w:r>
                    <w:rPr>
                      <w:rFonts w:ascii="仿宋_GB2312" w:hAnsi="仿宋_GB2312" w:cs="仿宋_GB2312" w:eastAsia="仿宋_GB2312"/>
                      <w:sz w:val="24"/>
                    </w:rPr>
                    <w:t>5</w:t>
                  </w:r>
                  <w:r>
                    <w:rPr>
                      <w:rFonts w:ascii="仿宋_GB2312" w:hAnsi="仿宋_GB2312" w:cs="仿宋_GB2312" w:eastAsia="仿宋_GB2312"/>
                      <w:sz w:val="24"/>
                    </w:rPr>
                    <w:t>千个机构；</w:t>
                  </w:r>
                </w:p>
                <w:p>
                  <w:pPr>
                    <w:pStyle w:val="null3"/>
                    <w:jc w:val="left"/>
                  </w:pPr>
                  <w:r>
                    <w:rPr>
                      <w:rFonts w:ascii="仿宋_GB2312" w:hAnsi="仿宋_GB2312" w:cs="仿宋_GB2312" w:eastAsia="仿宋_GB2312"/>
                      <w:sz w:val="24"/>
                      <w:b/>
                    </w:rPr>
                    <w:t>6、系统安全性要求：</w:t>
                  </w:r>
                  <w:r>
                    <w:rPr>
                      <w:rFonts w:ascii="仿宋_GB2312" w:hAnsi="仿宋_GB2312" w:cs="仿宋_GB2312" w:eastAsia="仿宋_GB2312"/>
                      <w:sz w:val="24"/>
                    </w:rPr>
                    <w:t>具备网络传输及数据存储加密机制，符合网络安全等级保护要求；</w:t>
                  </w:r>
                </w:p>
                <w:p>
                  <w:pPr>
                    <w:pStyle w:val="null3"/>
                    <w:jc w:val="left"/>
                  </w:pPr>
                  <w:r>
                    <w:rPr>
                      <w:rFonts w:ascii="仿宋_GB2312" w:hAnsi="仿宋_GB2312" w:cs="仿宋_GB2312" w:eastAsia="仿宋_GB2312"/>
                      <w:sz w:val="24"/>
                      <w:b/>
                    </w:rPr>
                    <w:t>7、系统稳定性要求：</w:t>
                  </w:r>
                  <w:r>
                    <w:rPr>
                      <w:rFonts w:ascii="仿宋_GB2312" w:hAnsi="仿宋_GB2312" w:cs="仿宋_GB2312" w:eastAsia="仿宋_GB2312"/>
                      <w:sz w:val="24"/>
                    </w:rPr>
                    <w:t>系统年累计故障时长</w:t>
                  </w:r>
                  <w:r>
                    <w:rPr>
                      <w:rFonts w:ascii="仿宋_GB2312" w:hAnsi="仿宋_GB2312" w:cs="仿宋_GB2312" w:eastAsia="仿宋_GB2312"/>
                      <w:sz w:val="24"/>
                    </w:rPr>
                    <w:t>≤7天；</w:t>
                  </w:r>
                </w:p>
                <w:p>
                  <w:pPr>
                    <w:pStyle w:val="null3"/>
                    <w:jc w:val="left"/>
                  </w:pPr>
                  <w:r>
                    <w:rPr>
                      <w:rFonts w:ascii="仿宋_GB2312" w:hAnsi="仿宋_GB2312" w:cs="仿宋_GB2312" w:eastAsia="仿宋_GB2312"/>
                      <w:sz w:val="24"/>
                      <w:b/>
                    </w:rPr>
                    <w:t>8、容灾备份要求：</w:t>
                  </w:r>
                  <w:r>
                    <w:rPr>
                      <w:rFonts w:ascii="仿宋_GB2312" w:hAnsi="仿宋_GB2312" w:cs="仿宋_GB2312" w:eastAsia="仿宋_GB2312"/>
                      <w:sz w:val="24"/>
                    </w:rPr>
                    <w:t>具有容错容灾和备份机制，系统平均故障恢复时间</w:t>
                  </w:r>
                  <w:r>
                    <w:rPr>
                      <w:rFonts w:ascii="仿宋_GB2312" w:hAnsi="仿宋_GB2312" w:cs="仿宋_GB2312" w:eastAsia="仿宋_GB2312"/>
                      <w:sz w:val="24"/>
                    </w:rPr>
                    <w:t>≤1小时。</w:t>
                  </w:r>
                </w:p>
              </w:tc>
            </w:tr>
          </w:tbl>
          <w:p>
            <w:pPr>
              <w:pStyle w:val="null3"/>
              <w:ind w:firstLine="480"/>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2"/>
              <w:gridCol w:w="304"/>
              <w:gridCol w:w="1461"/>
              <w:gridCol w:w="293"/>
              <w:gridCol w:w="263"/>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智能物联芯片采购</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硬件参数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智能物联芯片</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1. </w:t>
                  </w:r>
                  <w:r>
                    <w:rPr>
                      <w:rFonts w:ascii="仿宋_GB2312" w:hAnsi="仿宋_GB2312" w:cs="仿宋_GB2312" w:eastAsia="仿宋_GB2312"/>
                      <w:sz w:val="24"/>
                    </w:rPr>
                    <w:t>★为保障产品使用便捷性、网络环境互补性，智能物联芯片需同时具备4G通信与蓝牙通讯双模通信</w:t>
                  </w:r>
                  <w:r>
                    <w:rPr>
                      <w:rFonts w:ascii="仿宋_GB2312" w:hAnsi="仿宋_GB2312" w:cs="仿宋_GB2312" w:eastAsia="仿宋_GB2312"/>
                      <w:sz w:val="24"/>
                    </w:rPr>
                    <w:t>。（投标人投标时需提供智能物联芯片具备</w:t>
                  </w:r>
                  <w:r>
                    <w:rPr>
                      <w:rFonts w:ascii="仿宋_GB2312" w:hAnsi="仿宋_GB2312" w:cs="仿宋_GB2312" w:eastAsia="仿宋_GB2312"/>
                      <w:sz w:val="24"/>
                    </w:rPr>
                    <w:t>4G+蓝牙双通信模式的证明材料）；</w:t>
                  </w:r>
                </w:p>
                <w:p>
                  <w:pPr>
                    <w:pStyle w:val="null3"/>
                  </w:pPr>
                  <w:r>
                    <w:rPr>
                      <w:rFonts w:ascii="仿宋_GB2312" w:hAnsi="仿宋_GB2312" w:cs="仿宋_GB2312" w:eastAsia="仿宋_GB2312"/>
                      <w:sz w:val="24"/>
                    </w:rPr>
                    <w:t>2.智能物联芯片</w:t>
                  </w:r>
                  <w:r>
                    <w:rPr>
                      <w:rFonts w:ascii="仿宋_GB2312" w:hAnsi="仿宋_GB2312" w:cs="仿宋_GB2312" w:eastAsia="仿宋_GB2312"/>
                      <w:sz w:val="24"/>
                    </w:rPr>
                    <w:t>4G通信</w:t>
                  </w:r>
                  <w:r>
                    <w:rPr>
                      <w:rFonts w:ascii="仿宋_GB2312" w:hAnsi="仿宋_GB2312" w:cs="仿宋_GB2312" w:eastAsia="仿宋_GB2312"/>
                      <w:sz w:val="24"/>
                    </w:rPr>
                    <w:t>需支持</w:t>
                  </w:r>
                  <w:r>
                    <w:rPr>
                      <w:rFonts w:ascii="仿宋_GB2312" w:hAnsi="仿宋_GB2312" w:cs="仿宋_GB2312" w:eastAsia="仿宋_GB2312"/>
                      <w:sz w:val="24"/>
                    </w:rPr>
                    <w:t>4G</w:t>
                  </w:r>
                  <w:r>
                    <w:rPr>
                      <w:rFonts w:ascii="仿宋_GB2312" w:hAnsi="仿宋_GB2312" w:cs="仿宋_GB2312" w:eastAsia="仿宋_GB2312"/>
                      <w:sz w:val="24"/>
                    </w:rPr>
                    <w:t xml:space="preserve"> </w:t>
                  </w:r>
                  <w:r>
                    <w:rPr>
                      <w:rFonts w:ascii="仿宋_GB2312" w:hAnsi="仿宋_GB2312" w:cs="仿宋_GB2312" w:eastAsia="仿宋_GB2312"/>
                      <w:sz w:val="24"/>
                    </w:rPr>
                    <w:t>Cat1全网通（支持中国移动、联通、电信、广电等运营商）</w:t>
                  </w:r>
                  <w:r>
                    <w:rPr>
                      <w:rFonts w:ascii="仿宋_GB2312" w:hAnsi="仿宋_GB2312" w:cs="仿宋_GB2312" w:eastAsia="仿宋_GB2312"/>
                      <w:sz w:val="24"/>
                    </w:rPr>
                    <w:t>；</w:t>
                  </w:r>
                </w:p>
                <w:p>
                  <w:pPr>
                    <w:pStyle w:val="null3"/>
                  </w:pPr>
                  <w:r>
                    <w:rPr>
                      <w:rFonts w:ascii="仿宋_GB2312" w:hAnsi="仿宋_GB2312" w:cs="仿宋_GB2312" w:eastAsia="仿宋_GB2312"/>
                      <w:sz w:val="24"/>
                    </w:rPr>
                    <w:t>3.智能物联芯片</w:t>
                  </w:r>
                  <w:r>
                    <w:rPr>
                      <w:rFonts w:ascii="仿宋_GB2312" w:hAnsi="仿宋_GB2312" w:cs="仿宋_GB2312" w:eastAsia="仿宋_GB2312"/>
                      <w:sz w:val="24"/>
                    </w:rPr>
                    <w:t>4G通信需自带三年免费流量</w:t>
                  </w:r>
                  <w:r>
                    <w:rPr>
                      <w:rFonts w:ascii="仿宋_GB2312" w:hAnsi="仿宋_GB2312" w:cs="仿宋_GB2312" w:eastAsia="仿宋_GB2312"/>
                      <w:sz w:val="24"/>
                    </w:rPr>
                    <w:t>；</w:t>
                  </w:r>
                </w:p>
                <w:p>
                  <w:pPr>
                    <w:pStyle w:val="null3"/>
                  </w:pPr>
                  <w:r>
                    <w:rPr>
                      <w:rFonts w:ascii="仿宋_GB2312" w:hAnsi="仿宋_GB2312" w:cs="仿宋_GB2312" w:eastAsia="仿宋_GB2312"/>
                      <w:sz w:val="24"/>
                    </w:rPr>
                    <w:t>4.智能物联芯片需支持</w:t>
                  </w:r>
                  <w:r>
                    <w:rPr>
                      <w:rFonts w:ascii="仿宋_GB2312" w:hAnsi="仿宋_GB2312" w:cs="仿宋_GB2312" w:eastAsia="仿宋_GB2312"/>
                      <w:sz w:val="24"/>
                    </w:rPr>
                    <w:t>MQTT 协议、HTTP 协议、TCP/UDP 协议；</w:t>
                  </w:r>
                </w:p>
                <w:p>
                  <w:pPr>
                    <w:pStyle w:val="null3"/>
                  </w:pPr>
                  <w:r>
                    <w:rPr>
                      <w:rFonts w:ascii="仿宋_GB2312" w:hAnsi="仿宋_GB2312" w:cs="仿宋_GB2312" w:eastAsia="仿宋_GB2312"/>
                      <w:sz w:val="24"/>
                    </w:rPr>
                    <w:t>5.智能物联芯片通电时，</w:t>
                  </w:r>
                  <w:r>
                    <w:rPr>
                      <w:rFonts w:ascii="仿宋_GB2312" w:hAnsi="仿宋_GB2312" w:cs="仿宋_GB2312" w:eastAsia="仿宋_GB2312"/>
                      <w:sz w:val="24"/>
                    </w:rPr>
                    <w:t>须</w:t>
                  </w:r>
                  <w:r>
                    <w:rPr>
                      <w:rFonts w:ascii="仿宋_GB2312" w:hAnsi="仿宋_GB2312" w:cs="仿宋_GB2312" w:eastAsia="仿宋_GB2312"/>
                      <w:sz w:val="24"/>
                    </w:rPr>
                    <w:t>具备</w:t>
                  </w:r>
                  <w:r>
                    <w:rPr>
                      <w:rFonts w:ascii="仿宋_GB2312" w:hAnsi="仿宋_GB2312" w:cs="仿宋_GB2312" w:eastAsia="仿宋_GB2312"/>
                      <w:sz w:val="24"/>
                    </w:rPr>
                    <w:t>4G基站定位能力并获取设备位置坐标；</w:t>
                  </w:r>
                </w:p>
                <w:p>
                  <w:pPr>
                    <w:pStyle w:val="null3"/>
                  </w:pPr>
                  <w:r>
                    <w:rPr>
                      <w:rFonts w:ascii="仿宋_GB2312" w:hAnsi="仿宋_GB2312" w:cs="仿宋_GB2312" w:eastAsia="仿宋_GB2312"/>
                      <w:sz w:val="24"/>
                    </w:rPr>
                    <w:t>6.智能物联芯片需支持远程开关控制</w:t>
                  </w:r>
                  <w:r>
                    <w:rPr>
                      <w:rFonts w:ascii="仿宋_GB2312" w:hAnsi="仿宋_GB2312" w:cs="仿宋_GB2312" w:eastAsia="仿宋_GB2312"/>
                      <w:sz w:val="24"/>
                    </w:rPr>
                    <w:t>；</w:t>
                  </w:r>
                </w:p>
                <w:p>
                  <w:pPr>
                    <w:pStyle w:val="null3"/>
                  </w:pPr>
                  <w:r>
                    <w:rPr>
                      <w:rFonts w:ascii="仿宋_GB2312" w:hAnsi="仿宋_GB2312" w:cs="仿宋_GB2312" w:eastAsia="仿宋_GB2312"/>
                      <w:sz w:val="24"/>
                    </w:rPr>
                    <w:t>7.智能物联芯片需支持远程固件升级；</w:t>
                  </w:r>
                </w:p>
                <w:p>
                  <w:pPr>
                    <w:pStyle w:val="null3"/>
                  </w:pPr>
                  <w:r>
                    <w:rPr>
                      <w:rFonts w:ascii="仿宋_GB2312" w:hAnsi="仿宋_GB2312" w:cs="仿宋_GB2312" w:eastAsia="仿宋_GB2312"/>
                      <w:sz w:val="24"/>
                    </w:rPr>
                    <w:t>8.智能物联芯片</w:t>
                  </w:r>
                  <w:r>
                    <w:rPr>
                      <w:rFonts w:ascii="仿宋_GB2312" w:hAnsi="仿宋_GB2312" w:cs="仿宋_GB2312" w:eastAsia="仿宋_GB2312"/>
                      <w:sz w:val="24"/>
                    </w:rPr>
                    <w:t>须</w:t>
                  </w:r>
                  <w:r>
                    <w:rPr>
                      <w:rFonts w:ascii="仿宋_GB2312" w:hAnsi="仿宋_GB2312" w:cs="仿宋_GB2312" w:eastAsia="仿宋_GB2312"/>
                      <w:sz w:val="24"/>
                    </w:rPr>
                    <w:t>具备丰富的指示灯，能够快速查看智能物联芯片的运行状态；</w:t>
                  </w:r>
                </w:p>
                <w:p>
                  <w:pPr>
                    <w:pStyle w:val="null3"/>
                  </w:pPr>
                  <w:r>
                    <w:rPr>
                      <w:rFonts w:ascii="仿宋_GB2312" w:hAnsi="仿宋_GB2312" w:cs="仿宋_GB2312" w:eastAsia="仿宋_GB2312"/>
                      <w:sz w:val="24"/>
                    </w:rPr>
                    <w:t>9.智能物联芯片</w:t>
                  </w:r>
                  <w:r>
                    <w:rPr>
                      <w:rFonts w:ascii="仿宋_GB2312" w:hAnsi="仿宋_GB2312" w:cs="仿宋_GB2312" w:eastAsia="仿宋_GB2312"/>
                      <w:sz w:val="24"/>
                    </w:rPr>
                    <w:t>须</w:t>
                  </w:r>
                  <w:r>
                    <w:rPr>
                      <w:rFonts w:ascii="仿宋_GB2312" w:hAnsi="仿宋_GB2312" w:cs="仿宋_GB2312" w:eastAsia="仿宋_GB2312"/>
                      <w:sz w:val="24"/>
                    </w:rPr>
                    <w:t>具备应急响应机制，当出现不可抗力因素导致设备无法正常通信时，芯片可</w:t>
                  </w:r>
                  <w:r>
                    <w:rPr>
                      <w:rFonts w:ascii="仿宋_GB2312" w:hAnsi="仿宋_GB2312" w:cs="仿宋_GB2312" w:eastAsia="仿宋_GB2312"/>
                      <w:sz w:val="24"/>
                    </w:rPr>
                    <w:t>放开对焊机的控制，优先保障焊工正常作业</w:t>
                  </w:r>
                  <w:r>
                    <w:rPr>
                      <w:rFonts w:ascii="仿宋_GB2312" w:hAnsi="仿宋_GB2312" w:cs="仿宋_GB2312" w:eastAsia="仿宋_GB2312"/>
                      <w:sz w:val="24"/>
                    </w:rPr>
                    <w:t>；</w:t>
                  </w:r>
                </w:p>
                <w:p>
                  <w:pPr>
                    <w:pStyle w:val="null3"/>
                  </w:pPr>
                  <w:r>
                    <w:rPr>
                      <w:rFonts w:ascii="仿宋_GB2312" w:hAnsi="仿宋_GB2312" w:cs="仿宋_GB2312" w:eastAsia="仿宋_GB2312"/>
                      <w:sz w:val="24"/>
                    </w:rPr>
                    <w:t>10.智能物联芯片</w:t>
                  </w:r>
                  <w:r>
                    <w:rPr>
                      <w:rFonts w:ascii="仿宋_GB2312" w:hAnsi="仿宋_GB2312" w:cs="仿宋_GB2312" w:eastAsia="仿宋_GB2312"/>
                      <w:sz w:val="24"/>
                    </w:rPr>
                    <w:t>须具备</w:t>
                  </w:r>
                  <w:r>
                    <w:rPr>
                      <w:rFonts w:ascii="仿宋_GB2312" w:hAnsi="仿宋_GB2312" w:cs="仿宋_GB2312" w:eastAsia="仿宋_GB2312"/>
                      <w:sz w:val="24"/>
                    </w:rPr>
                    <w:t>独立隔离电源，并支持交流</w:t>
                  </w:r>
                  <w:r>
                    <w:rPr>
                      <w:rFonts w:ascii="仿宋_GB2312" w:hAnsi="仿宋_GB2312" w:cs="仿宋_GB2312" w:eastAsia="仿宋_GB2312"/>
                      <w:sz w:val="24"/>
                    </w:rPr>
                    <w:t>220V/380V宽电压，可使用220V或380V电压供电，满足市场焊机改造要求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11.▲为保障智能物联芯片使用寿命和抗干扰性，要求智能物联芯片通过浪涌（冲击）抗干扰≥±2KV实验</w:t>
                  </w:r>
                  <w:r>
                    <w:rPr>
                      <w:rFonts w:ascii="仿宋_GB2312" w:hAnsi="仿宋_GB2312" w:cs="仿宋_GB2312" w:eastAsia="仿宋_GB2312"/>
                      <w:sz w:val="24"/>
                    </w:rPr>
                    <w:t>；</w:t>
                  </w:r>
                </w:p>
                <w:p>
                  <w:pPr>
                    <w:pStyle w:val="null3"/>
                  </w:pPr>
                  <w:r>
                    <w:rPr>
                      <w:rFonts w:ascii="仿宋_GB2312" w:hAnsi="仿宋_GB2312" w:cs="仿宋_GB2312" w:eastAsia="仿宋_GB2312"/>
                      <w:sz w:val="24"/>
                    </w:rPr>
                    <w:t>12.▲为保障智能物联芯片使用寿命和抗干扰性能，要求智能物联芯片通过静电放电抗扰度试验，接触放电≥±4KV</w:t>
                  </w:r>
                  <w:r>
                    <w:rPr>
                      <w:rFonts w:ascii="仿宋_GB2312" w:hAnsi="仿宋_GB2312" w:cs="仿宋_GB2312" w:eastAsia="仿宋_GB2312"/>
                      <w:sz w:val="24"/>
                    </w:rPr>
                    <w:t>；</w:t>
                  </w:r>
                </w:p>
                <w:p>
                  <w:pPr>
                    <w:pStyle w:val="null3"/>
                  </w:pPr>
                  <w:r>
                    <w:rPr>
                      <w:rFonts w:ascii="仿宋_GB2312" w:hAnsi="仿宋_GB2312" w:cs="仿宋_GB2312" w:eastAsia="仿宋_GB2312"/>
                      <w:sz w:val="24"/>
                    </w:rPr>
                    <w:t>13.▲为保障智能物联芯片使用寿命和抗干扰性能，要求智能物联芯片通过静电放电抗扰度试验，空气放电≥±8KV</w:t>
                  </w:r>
                  <w:r>
                    <w:rPr>
                      <w:rFonts w:ascii="仿宋_GB2312" w:hAnsi="仿宋_GB2312" w:cs="仿宋_GB2312" w:eastAsia="仿宋_GB2312"/>
                      <w:sz w:val="24"/>
                    </w:rPr>
                    <w:t>；</w:t>
                  </w:r>
                </w:p>
                <w:p>
                  <w:pPr>
                    <w:pStyle w:val="null3"/>
                  </w:pPr>
                  <w:r>
                    <w:rPr>
                      <w:rFonts w:ascii="仿宋_GB2312" w:hAnsi="仿宋_GB2312" w:cs="仿宋_GB2312" w:eastAsia="仿宋_GB2312"/>
                      <w:sz w:val="24"/>
                    </w:rPr>
                    <w:t>14.▲为保障智能物联芯片安全性和使用寿命，要求智能物联芯片市电高压部分电路设计满足最小电气间隙&gt;=1.5mm、和爬电距离&gt;=2.</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w:t>
                  </w:r>
                </w:p>
                <w:p>
                  <w:pPr>
                    <w:pStyle w:val="null3"/>
                  </w:pPr>
                  <w:r>
                    <w:rPr>
                      <w:rFonts w:ascii="仿宋_GB2312" w:hAnsi="仿宋_GB2312" w:cs="仿宋_GB2312" w:eastAsia="仿宋_GB2312"/>
                      <w:sz w:val="24"/>
                    </w:rPr>
                    <w:t>15.▲</w:t>
                  </w:r>
                  <w:r>
                    <w:rPr>
                      <w:rFonts w:ascii="仿宋_GB2312" w:hAnsi="仿宋_GB2312" w:cs="仿宋_GB2312" w:eastAsia="仿宋_GB2312"/>
                      <w:sz w:val="24"/>
                    </w:rPr>
                    <w:t>为保障智能物联芯片抗干扰性，要求智能物联芯片满足射频场感应的传导抗扰度需要满足（业务模式：试验过程中被测设备保持通信连接且吞吐量应达到参考测试信道最大吞吐量的</w:t>
                  </w:r>
                  <w:r>
                    <w:rPr>
                      <w:rFonts w:ascii="仿宋_GB2312" w:hAnsi="仿宋_GB2312" w:cs="仿宋_GB2312" w:eastAsia="仿宋_GB2312"/>
                      <w:sz w:val="24"/>
                    </w:rPr>
                    <w:t>90</w:t>
                  </w:r>
                  <w:r>
                    <w:rPr>
                      <w:rFonts w:ascii="仿宋_GB2312" w:hAnsi="仿宋_GB2312" w:cs="仿宋_GB2312" w:eastAsia="仿宋_GB2312"/>
                      <w:sz w:val="24"/>
                    </w:rPr>
                    <w:t>%，同时也应保持数据连接</w:t>
                  </w:r>
                  <w:r>
                    <w:rPr>
                      <w:rFonts w:ascii="仿宋_GB2312" w:hAnsi="仿宋_GB2312" w:cs="仿宋_GB2312" w:eastAsia="仿宋_GB2312"/>
                      <w:sz w:val="24"/>
                    </w:rPr>
                    <w:t>；</w:t>
                  </w:r>
                </w:p>
                <w:p>
                  <w:pPr>
                    <w:pStyle w:val="null3"/>
                  </w:pPr>
                  <w:r>
                    <w:rPr>
                      <w:rFonts w:ascii="仿宋_GB2312" w:hAnsi="仿宋_GB2312" w:cs="仿宋_GB2312" w:eastAsia="仿宋_GB2312"/>
                      <w:sz w:val="24"/>
                    </w:rPr>
                    <w:t>16.▲</w:t>
                  </w:r>
                  <w:r>
                    <w:rPr>
                      <w:rFonts w:ascii="仿宋_GB2312" w:hAnsi="仿宋_GB2312" w:cs="仿宋_GB2312" w:eastAsia="仿宋_GB2312"/>
                      <w:sz w:val="24"/>
                    </w:rPr>
                    <w:t>智能物联芯片满足辐射连续骚扰需满足（实验频率</w:t>
                  </w:r>
                  <w:r>
                    <w:rPr>
                      <w:rFonts w:ascii="仿宋_GB2312" w:hAnsi="仿宋_GB2312" w:cs="仿宋_GB2312" w:eastAsia="仿宋_GB2312"/>
                      <w:sz w:val="24"/>
                    </w:rPr>
                    <w:t>30-230MHZ  FDD/TD-LTE准峰值(QP)&lt;=40dB(μV/m)</w:t>
                  </w:r>
                  <w:r>
                    <w:rPr>
                      <w:rFonts w:ascii="仿宋_GB2312" w:hAnsi="仿宋_GB2312" w:cs="仿宋_GB2312" w:eastAsia="仿宋_GB2312"/>
                      <w:sz w:val="24"/>
                    </w:rPr>
                    <w:t>，</w:t>
                  </w:r>
                  <w:r>
                    <w:rPr>
                      <w:rFonts w:ascii="仿宋_GB2312" w:hAnsi="仿宋_GB2312" w:cs="仿宋_GB2312" w:eastAsia="仿宋_GB2312"/>
                      <w:sz w:val="24"/>
                    </w:rPr>
                    <w:t>实验频率</w:t>
                  </w:r>
                  <w:r>
                    <w:rPr>
                      <w:rFonts w:ascii="仿宋_GB2312" w:hAnsi="仿宋_GB2312" w:cs="仿宋_GB2312" w:eastAsia="仿宋_GB2312"/>
                      <w:sz w:val="24"/>
                    </w:rPr>
                    <w:t>230-1000MHZ FDD/TD-LTE辐射发射强度准峰值(QP)&lt;=</w:t>
                  </w:r>
                  <w:r>
                    <w:rPr>
                      <w:rFonts w:ascii="仿宋_GB2312" w:hAnsi="仿宋_GB2312" w:cs="仿宋_GB2312" w:eastAsia="仿宋_GB2312"/>
                      <w:sz w:val="24"/>
                    </w:rPr>
                    <w:t>50</w:t>
                  </w:r>
                  <w:r>
                    <w:rPr>
                      <w:rFonts w:ascii="仿宋_GB2312" w:hAnsi="仿宋_GB2312" w:cs="仿宋_GB2312" w:eastAsia="仿宋_GB2312"/>
                      <w:sz w:val="24"/>
                    </w:rPr>
                    <w:t>dB(μV/m)</w:t>
                  </w:r>
                  <w:r>
                    <w:rPr>
                      <w:rFonts w:ascii="仿宋_GB2312" w:hAnsi="仿宋_GB2312" w:cs="仿宋_GB2312" w:eastAsia="仿宋_GB2312"/>
                      <w:sz w:val="24"/>
                    </w:rPr>
                    <w:t>，</w:t>
                  </w:r>
                  <w:r>
                    <w:rPr>
                      <w:rFonts w:ascii="仿宋_GB2312" w:hAnsi="仿宋_GB2312" w:cs="仿宋_GB2312" w:eastAsia="仿宋_GB2312"/>
                      <w:sz w:val="24"/>
                    </w:rPr>
                    <w:t>实验频率</w:t>
                  </w:r>
                  <w:r>
                    <w:rPr>
                      <w:rFonts w:ascii="仿宋_GB2312" w:hAnsi="仿宋_GB2312" w:cs="仿宋_GB2312" w:eastAsia="仿宋_GB2312"/>
                      <w:sz w:val="24"/>
                    </w:rPr>
                    <w:t>1000-3000MHZ 平均值&lt;=50dB(μV/m) 辐射发射强度峰值&lt;=70dB(μV/m)， 3000-6000MHZ 辐射发射强度平均值&lt;=5</w:t>
                  </w:r>
                  <w:r>
                    <w:rPr>
                      <w:rFonts w:ascii="仿宋_GB2312" w:hAnsi="仿宋_GB2312" w:cs="仿宋_GB2312" w:eastAsia="仿宋_GB2312"/>
                      <w:sz w:val="24"/>
                    </w:rPr>
                    <w:t>5</w:t>
                  </w:r>
                  <w:r>
                    <w:rPr>
                      <w:rFonts w:ascii="仿宋_GB2312" w:hAnsi="仿宋_GB2312" w:cs="仿宋_GB2312" w:eastAsia="仿宋_GB2312"/>
                      <w:sz w:val="24"/>
                    </w:rPr>
                    <w:t>dB(μV/m) 峰值&lt;=7</w:t>
                  </w:r>
                  <w:r>
                    <w:rPr>
                      <w:rFonts w:ascii="仿宋_GB2312" w:hAnsi="仿宋_GB2312" w:cs="仿宋_GB2312" w:eastAsia="仿宋_GB2312"/>
                      <w:sz w:val="24"/>
                    </w:rPr>
                    <w:t>5</w:t>
                  </w:r>
                  <w:r>
                    <w:rPr>
                      <w:rFonts w:ascii="仿宋_GB2312" w:hAnsi="仿宋_GB2312" w:cs="仿宋_GB2312" w:eastAsia="仿宋_GB2312"/>
                      <w:sz w:val="24"/>
                    </w:rPr>
                    <w:t>dB(μV/m)）；</w:t>
                  </w:r>
                </w:p>
                <w:p>
                  <w:pPr>
                    <w:pStyle w:val="null3"/>
                  </w:pPr>
                  <w:r>
                    <w:rPr>
                      <w:rFonts w:ascii="仿宋_GB2312" w:hAnsi="仿宋_GB2312" w:cs="仿宋_GB2312" w:eastAsia="仿宋_GB2312"/>
                      <w:sz w:val="24"/>
                    </w:rPr>
                    <w:t>17.▲</w:t>
                  </w:r>
                  <w:r>
                    <w:rPr>
                      <w:rFonts w:ascii="仿宋_GB2312" w:hAnsi="仿宋_GB2312" w:cs="仿宋_GB2312" w:eastAsia="仿宋_GB2312"/>
                      <w:sz w:val="24"/>
                    </w:rPr>
                    <w:t>智能物联芯片辐射杂散骚扰需满足（业务模式下实验频率</w:t>
                  </w:r>
                  <w:r>
                    <w:rPr>
                      <w:rFonts w:ascii="仿宋_GB2312" w:hAnsi="仿宋_GB2312" w:cs="仿宋_GB2312" w:eastAsia="仿宋_GB2312"/>
                      <w:sz w:val="24"/>
                    </w:rPr>
                    <w:t>30-1000MHZ 辐射发射强不超出限值-</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dBm） 实验频率1000-12750辐射发射强不超出限值-30（dBm）</w:t>
                  </w:r>
                  <w:r>
                    <w:rPr>
                      <w:rFonts w:ascii="仿宋_GB2312" w:hAnsi="仿宋_GB2312" w:cs="仿宋_GB2312" w:eastAsia="仿宋_GB2312"/>
                      <w:sz w:val="24"/>
                    </w:rPr>
                    <w:t>，</w:t>
                  </w:r>
                  <w:r>
                    <w:rPr>
                      <w:rFonts w:ascii="仿宋_GB2312" w:hAnsi="仿宋_GB2312" w:cs="仿宋_GB2312" w:eastAsia="仿宋_GB2312"/>
                      <w:sz w:val="24"/>
                    </w:rPr>
                    <w:t>空闲模式下实验频率</w:t>
                  </w:r>
                  <w:r>
                    <w:rPr>
                      <w:rFonts w:ascii="仿宋_GB2312" w:hAnsi="仿宋_GB2312" w:cs="仿宋_GB2312" w:eastAsia="仿宋_GB2312"/>
                      <w:sz w:val="24"/>
                    </w:rPr>
                    <w:t>30-1000MHZ 辐射发射强不超出限值-</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dBm） 实验频率1000-12750辐射发射强不超出限值-</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dBm））</w:t>
                  </w:r>
                  <w:r>
                    <w:rPr>
                      <w:rFonts w:ascii="仿宋_GB2312" w:hAnsi="仿宋_GB2312" w:cs="仿宋_GB2312" w:eastAsia="仿宋_GB2312"/>
                      <w:sz w:val="24"/>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以上参数要求中带</w:t>
                  </w:r>
                  <w:r>
                    <w:rPr>
                      <w:rFonts w:ascii="仿宋_GB2312" w:hAnsi="仿宋_GB2312" w:cs="仿宋_GB2312" w:eastAsia="仿宋_GB2312"/>
                      <w:sz w:val="24"/>
                      <w:b/>
                    </w:rPr>
                    <w:t>★号条款为实质性必须满足条款，不得出现负偏离，出现负偏离视为不响应招标文件实质性要求。</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二、</w:t>
            </w:r>
            <w:r>
              <w:rPr>
                <w:rFonts w:ascii="仿宋_GB2312" w:hAnsi="仿宋_GB2312" w:cs="仿宋_GB2312" w:eastAsia="仿宋_GB2312"/>
                <w:sz w:val="28"/>
                <w:b/>
              </w:rPr>
              <w:t>实施方案</w:t>
            </w:r>
          </w:p>
          <w:p>
            <w:pPr>
              <w:pStyle w:val="null3"/>
              <w:jc w:val="both"/>
            </w:pPr>
            <w:r>
              <w:rPr>
                <w:rFonts w:ascii="仿宋_GB2312" w:hAnsi="仿宋_GB2312" w:cs="仿宋_GB2312" w:eastAsia="仿宋_GB2312"/>
                <w:sz w:val="24"/>
                <w:b/>
              </w:rPr>
              <w:t>（一）设备要求</w:t>
            </w:r>
          </w:p>
          <w:p>
            <w:pPr>
              <w:pStyle w:val="null3"/>
              <w:ind w:firstLine="480"/>
              <w:jc w:val="both"/>
            </w:pPr>
            <w:r>
              <w:rPr>
                <w:rFonts w:ascii="仿宋_GB2312" w:hAnsi="仿宋_GB2312" w:cs="仿宋_GB2312" w:eastAsia="仿宋_GB2312"/>
                <w:sz w:val="24"/>
              </w:rPr>
              <w:t>1.投标人提供的设备必须是全新的原装优质产品（包括所有零部件、元器件、附件、备件），符合相应的国家标准，并须提供相关产品的产品合格证、产品说明书和安装说明等资料，投标人所提供的产品在安装调试完成后，进行试运行测试，必须达到相关功能要求。</w:t>
            </w:r>
          </w:p>
          <w:p>
            <w:pPr>
              <w:pStyle w:val="null3"/>
              <w:ind w:firstLine="480"/>
              <w:jc w:val="both"/>
            </w:pPr>
            <w:r>
              <w:rPr>
                <w:rFonts w:ascii="仿宋_GB2312" w:hAnsi="仿宋_GB2312" w:cs="仿宋_GB2312" w:eastAsia="仿宋_GB2312"/>
                <w:sz w:val="24"/>
              </w:rPr>
              <w:t>2.投标人应列出详细的产品配置清单（包括各主要零部件的厂家或品牌、型号和规格、数量等），作为技术评价依据之一。</w:t>
            </w:r>
          </w:p>
          <w:p>
            <w:pPr>
              <w:pStyle w:val="null3"/>
              <w:ind w:firstLine="480"/>
              <w:jc w:val="both"/>
            </w:pPr>
            <w:r>
              <w:rPr>
                <w:rFonts w:ascii="仿宋_GB2312" w:hAnsi="仿宋_GB2312" w:cs="仿宋_GB2312" w:eastAsia="仿宋_GB2312"/>
                <w:sz w:val="24"/>
              </w:rPr>
              <w:t>3.投标人应具有完成本次供货的能力，保证投标产品的供货来源渠道合法正规，提供所投产品的来源渠道合法证明材料（包括但不限于产品制造商授权</w:t>
            </w:r>
            <w:r>
              <w:rPr>
                <w:rFonts w:ascii="仿宋_GB2312" w:hAnsi="仿宋_GB2312" w:cs="仿宋_GB2312" w:eastAsia="仿宋_GB2312"/>
                <w:sz w:val="24"/>
              </w:rPr>
              <w:t>或</w:t>
            </w:r>
            <w:r>
              <w:rPr>
                <w:rFonts w:ascii="仿宋_GB2312" w:hAnsi="仿宋_GB2312" w:cs="仿宋_GB2312" w:eastAsia="仿宋_GB2312"/>
                <w:sz w:val="24"/>
              </w:rPr>
              <w:t>销售协议</w:t>
            </w:r>
            <w:r>
              <w:rPr>
                <w:rFonts w:ascii="仿宋_GB2312" w:hAnsi="仿宋_GB2312" w:cs="仿宋_GB2312" w:eastAsia="仿宋_GB2312"/>
                <w:sz w:val="24"/>
              </w:rPr>
              <w:t>或</w:t>
            </w:r>
            <w:r>
              <w:rPr>
                <w:rFonts w:ascii="仿宋_GB2312" w:hAnsi="仿宋_GB2312" w:cs="仿宋_GB2312" w:eastAsia="仿宋_GB2312"/>
                <w:sz w:val="24"/>
              </w:rPr>
              <w:t>代理协议等）。</w:t>
            </w:r>
          </w:p>
          <w:p>
            <w:pPr>
              <w:pStyle w:val="null3"/>
              <w:jc w:val="both"/>
            </w:pPr>
            <w:r>
              <w:rPr>
                <w:rFonts w:ascii="仿宋_GB2312" w:hAnsi="仿宋_GB2312" w:cs="仿宋_GB2312" w:eastAsia="仿宋_GB2312"/>
                <w:sz w:val="24"/>
                <w:b/>
              </w:rPr>
              <w:t>（二）交货期和售后服务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1.交货期：智能监管平台、智能物联芯片供货需在合同签订后20个日历日内完成；完成供货后，90个日历日内完成电气焊“加芯赋码”数字</w:t>
            </w:r>
            <w:r>
              <w:rPr>
                <w:rFonts w:ascii="仿宋_GB2312" w:hAnsi="仿宋_GB2312" w:cs="仿宋_GB2312" w:eastAsia="仿宋_GB2312"/>
                <w:sz w:val="24"/>
              </w:rPr>
              <w:t>化改造的安装调试对接工作。</w:t>
            </w:r>
          </w:p>
          <w:p>
            <w:pPr>
              <w:pStyle w:val="null3"/>
              <w:ind w:firstLine="480"/>
              <w:jc w:val="both"/>
            </w:pPr>
            <w:r>
              <w:rPr>
                <w:rFonts w:ascii="仿宋_GB2312" w:hAnsi="仿宋_GB2312" w:cs="仿宋_GB2312" w:eastAsia="仿宋_GB2312"/>
                <w:sz w:val="24"/>
              </w:rPr>
              <w:t>2.安装方式：中标人中标后需要依照各地市实际情况，编制安装运维服务方案，明确每个地市的安装服务点位数量、地点、工作内容、工作时间、工作要求，根据招标人提供的清单，采用安装工上门安装或集中点位安装的方式，在规定时间内完成电气焊“加芯赋码”数字化改造。</w:t>
            </w:r>
          </w:p>
          <w:p>
            <w:pPr>
              <w:pStyle w:val="null3"/>
              <w:ind w:firstLine="480"/>
              <w:jc w:val="both"/>
            </w:pPr>
            <w:r>
              <w:rPr>
                <w:rFonts w:ascii="仿宋_GB2312" w:hAnsi="仿宋_GB2312" w:cs="仿宋_GB2312" w:eastAsia="仿宋_GB2312"/>
                <w:sz w:val="24"/>
              </w:rPr>
              <w:t>3.售后服务要求：本项目售后服务内容应包括现场支持服务、紧急恢复服务、后援服务、故障修复、巡检服务、邮件服务、例行工作会议服务及系统用户的技术咨询（电话、邮件、QQ等多种方式）等内容，提供三年运维服务，包括客服支撑与芯片运维，明确运维服务方案。设立全省统一的服务热线，能提供7*24小时技术支撑服务。乙方在接到甲方电话通知后在</w:t>
            </w:r>
            <w:r>
              <w:rPr>
                <w:rFonts w:ascii="仿宋_GB2312" w:hAnsi="仿宋_GB2312" w:cs="仿宋_GB2312" w:eastAsia="仿宋_GB2312"/>
                <w:sz w:val="24"/>
              </w:rPr>
              <w:t>2</w:t>
            </w:r>
            <w:r>
              <w:rPr>
                <w:rFonts w:ascii="仿宋_GB2312" w:hAnsi="仿宋_GB2312" w:cs="仿宋_GB2312" w:eastAsia="仿宋_GB2312"/>
                <w:sz w:val="24"/>
              </w:rPr>
              <w:t>小时内派出合格的服务人员到达现场进行服务，</w:t>
            </w:r>
            <w:r>
              <w:rPr>
                <w:rFonts w:ascii="仿宋_GB2312" w:hAnsi="仿宋_GB2312" w:cs="仿宋_GB2312" w:eastAsia="仿宋_GB2312"/>
                <w:sz w:val="24"/>
              </w:rPr>
              <w:t>自行</w:t>
            </w:r>
            <w:r>
              <w:rPr>
                <w:rFonts w:ascii="仿宋_GB2312" w:hAnsi="仿宋_GB2312" w:cs="仿宋_GB2312" w:eastAsia="仿宋_GB2312"/>
                <w:sz w:val="24"/>
              </w:rPr>
              <w:t>承担相应费用。</w:t>
            </w:r>
          </w:p>
          <w:p>
            <w:pPr>
              <w:pStyle w:val="null3"/>
              <w:ind w:firstLine="480"/>
              <w:jc w:val="both"/>
            </w:pPr>
            <w:r>
              <w:rPr>
                <w:rFonts w:ascii="仿宋_GB2312" w:hAnsi="仿宋_GB2312" w:cs="仿宋_GB2312" w:eastAsia="仿宋_GB2312"/>
                <w:sz w:val="24"/>
              </w:rPr>
              <w:t>4.质保期要求：自最终验收合格之日起:智能物联芯片提供五年原厂质保，质保期内提供硬件的免费维修，保证设备正常稳定运行</w:t>
            </w:r>
            <w:r>
              <w:rPr>
                <w:rFonts w:ascii="仿宋_GB2312" w:hAnsi="仿宋_GB2312" w:cs="仿宋_GB2312" w:eastAsia="仿宋_GB2312"/>
                <w:sz w:val="24"/>
              </w:rPr>
              <w:t>；系统平台须</w:t>
            </w:r>
            <w:r>
              <w:rPr>
                <w:rFonts w:ascii="仿宋_GB2312" w:hAnsi="仿宋_GB2312" w:cs="仿宋_GB2312" w:eastAsia="仿宋_GB2312"/>
                <w:sz w:val="24"/>
              </w:rPr>
              <w:t>提供三年</w:t>
            </w:r>
            <w:r>
              <w:rPr>
                <w:rFonts w:ascii="仿宋_GB2312" w:hAnsi="仿宋_GB2312" w:cs="仿宋_GB2312" w:eastAsia="仿宋_GB2312"/>
                <w:sz w:val="24"/>
              </w:rPr>
              <w:t>质保，质保期内免费进行日常运维及平台升级服务，并安排专人驻场服务。</w:t>
            </w:r>
          </w:p>
          <w:p>
            <w:pPr>
              <w:pStyle w:val="null3"/>
              <w:ind w:firstLine="480"/>
              <w:jc w:val="both"/>
            </w:pPr>
            <w:r>
              <w:rPr>
                <w:rFonts w:ascii="仿宋_GB2312" w:hAnsi="仿宋_GB2312" w:cs="仿宋_GB2312" w:eastAsia="仿宋_GB2312"/>
                <w:sz w:val="24"/>
              </w:rPr>
              <w:t>5.在质保运维期内，如果乙方在收到通知后两天内没有弥补缺陷，甲方可采取必要的补救措施，但其风险和费用将由乙方承担甲方根据合同规定对乙方行使的其</w:t>
            </w:r>
            <w:r>
              <w:rPr>
                <w:rFonts w:ascii="仿宋_GB2312" w:hAnsi="仿宋_GB2312" w:cs="仿宋_GB2312" w:eastAsia="仿宋_GB2312"/>
                <w:sz w:val="24"/>
              </w:rPr>
              <w:t>他</w:t>
            </w:r>
            <w:r>
              <w:rPr>
                <w:rFonts w:ascii="仿宋_GB2312" w:hAnsi="仿宋_GB2312" w:cs="仿宋_GB2312" w:eastAsia="仿宋_GB2312"/>
                <w:sz w:val="24"/>
              </w:rPr>
              <w:t>权力不受影响。</w:t>
            </w:r>
          </w:p>
          <w:p>
            <w:pPr>
              <w:pStyle w:val="null3"/>
              <w:ind w:firstLine="480"/>
              <w:jc w:val="both"/>
            </w:pPr>
            <w:r>
              <w:rPr>
                <w:rFonts w:ascii="仿宋_GB2312" w:hAnsi="仿宋_GB2312" w:cs="仿宋_GB2312" w:eastAsia="仿宋_GB2312"/>
                <w:sz w:val="24"/>
              </w:rPr>
              <w:t>6.在质保期内的成品保护由乙方负责。</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1.验收时间：</w:t>
            </w:r>
            <w:r>
              <w:rPr>
                <w:rFonts w:ascii="仿宋_GB2312" w:hAnsi="仿宋_GB2312" w:cs="仿宋_GB2312" w:eastAsia="仿宋_GB2312"/>
                <w:sz w:val="24"/>
              </w:rPr>
              <w:t>乙方在完成</w:t>
            </w:r>
            <w:r>
              <w:rPr>
                <w:rFonts w:ascii="仿宋_GB2312" w:hAnsi="仿宋_GB2312" w:cs="仿宋_GB2312" w:eastAsia="仿宋_GB2312"/>
                <w:sz w:val="24"/>
              </w:rPr>
              <w:t>智能监管平台</w:t>
            </w:r>
            <w:r>
              <w:rPr>
                <w:rFonts w:ascii="仿宋_GB2312" w:hAnsi="仿宋_GB2312" w:cs="仿宋_GB2312" w:eastAsia="仿宋_GB2312"/>
                <w:sz w:val="24"/>
              </w:rPr>
              <w:t>建设</w:t>
            </w:r>
            <w:r>
              <w:rPr>
                <w:rFonts w:ascii="仿宋_GB2312" w:hAnsi="仿宋_GB2312" w:cs="仿宋_GB2312" w:eastAsia="仿宋_GB2312"/>
                <w:sz w:val="24"/>
              </w:rPr>
              <w:t>、智能物联芯片供货</w:t>
            </w:r>
            <w:r>
              <w:rPr>
                <w:rFonts w:ascii="仿宋_GB2312" w:hAnsi="仿宋_GB2312" w:cs="仿宋_GB2312" w:eastAsia="仿宋_GB2312"/>
                <w:sz w:val="24"/>
              </w:rPr>
              <w:t>并根据采购人要求</w:t>
            </w:r>
            <w:r>
              <w:rPr>
                <w:rFonts w:ascii="仿宋_GB2312" w:hAnsi="仿宋_GB2312" w:cs="仿宋_GB2312" w:eastAsia="仿宋_GB2312"/>
                <w:sz w:val="24"/>
              </w:rPr>
              <w:t>完成电气焊</w:t>
            </w:r>
            <w:r>
              <w:rPr>
                <w:rFonts w:ascii="仿宋_GB2312" w:hAnsi="仿宋_GB2312" w:cs="仿宋_GB2312" w:eastAsia="仿宋_GB2312"/>
                <w:sz w:val="24"/>
              </w:rPr>
              <w:t>“加芯赋码”数字化改造的安装调试对接工作</w:t>
            </w:r>
            <w:r>
              <w:rPr>
                <w:rFonts w:ascii="仿宋_GB2312" w:hAnsi="仿宋_GB2312" w:cs="仿宋_GB2312" w:eastAsia="仿宋_GB2312"/>
                <w:sz w:val="24"/>
              </w:rPr>
              <w:t>，由乙方进行自检合格后，准备验收文件并书面通知</w:t>
            </w:r>
            <w:r>
              <w:rPr>
                <w:rFonts w:ascii="仿宋_GB2312" w:hAnsi="仿宋_GB2312" w:cs="仿宋_GB2312" w:eastAsia="仿宋_GB2312"/>
                <w:sz w:val="24"/>
              </w:rPr>
              <w:t>采购人</w:t>
            </w:r>
            <w:r>
              <w:rPr>
                <w:rFonts w:ascii="仿宋_GB2312" w:hAnsi="仿宋_GB2312" w:cs="仿宋_GB2312" w:eastAsia="仿宋_GB2312"/>
                <w:sz w:val="24"/>
              </w:rPr>
              <w:t>进行验收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2.验收</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甲方确认乙方的自检内容后（必要时请有关专家）进行系统验收，甲方委派的验收小组将</w:t>
            </w:r>
            <w:r>
              <w:rPr>
                <w:rFonts w:ascii="仿宋_GB2312" w:hAnsi="仿宋_GB2312" w:cs="仿宋_GB2312" w:eastAsia="仿宋_GB2312"/>
                <w:sz w:val="24"/>
              </w:rPr>
              <w:t>根据行业相关标准及招标文件、投标文件相应技术要求</w:t>
            </w:r>
            <w:r>
              <w:rPr>
                <w:rFonts w:ascii="仿宋_GB2312" w:hAnsi="仿宋_GB2312" w:cs="仿宋_GB2312" w:eastAsia="仿宋_GB2312"/>
                <w:sz w:val="24"/>
              </w:rPr>
              <w:t>对中标人的每一项技术、服务、安全标准等履约情况进行确认直至验收合格。验收时需要进行破坏性试验的，供应商应进行充分的配合并提供备品备件。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验收标准</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）初步验收：完成设备安装、系统部署，通过功能测试（覆盖率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）最终验收：试运行</w:t>
            </w:r>
            <w:r>
              <w:rPr>
                <w:rFonts w:ascii="仿宋_GB2312" w:hAnsi="仿宋_GB2312" w:cs="仿宋_GB2312" w:eastAsia="仿宋_GB2312"/>
                <w:sz w:val="24"/>
              </w:rPr>
              <w:t>1月</w:t>
            </w:r>
            <w:r>
              <w:rPr>
                <w:rFonts w:ascii="仿宋_GB2312" w:hAnsi="仿宋_GB2312" w:cs="仿宋_GB2312" w:eastAsia="仿宋_GB2312"/>
                <w:sz w:val="24"/>
              </w:rPr>
              <w:t>后，各项指标达标，提交完整文档。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）技术指标验收：数据采集成功率</w:t>
            </w:r>
            <w:r>
              <w:rPr>
                <w:rFonts w:ascii="仿宋_GB2312" w:hAnsi="仿宋_GB2312" w:cs="仿宋_GB2312" w:eastAsia="仿宋_GB2312"/>
                <w:sz w:val="24"/>
              </w:rPr>
              <w:t>≥99%，数据同步延迟≤5秒。系统支持本项目2万台焊机并发访问，平均响应时间≤2秒。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）文档验收：提交完整技术文档（设计书、测试报告、用户手册）、等保测评报告、运维承诺书等相关资料。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）服务验收：验证运维响应速度、培训效果（通过率考核）、系统升级响应能力。</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验</w:t>
            </w:r>
            <w:r>
              <w:rPr>
                <w:rFonts w:ascii="仿宋_GB2312" w:hAnsi="仿宋_GB2312" w:cs="仿宋_GB2312" w:eastAsia="仿宋_GB2312"/>
                <w:sz w:val="24"/>
              </w:rPr>
              <w:t>收要求：根据行业相关标准及招标文件，验收</w:t>
            </w:r>
            <w:r>
              <w:rPr>
                <w:rFonts w:ascii="仿宋_GB2312" w:hAnsi="仿宋_GB2312" w:cs="仿宋_GB2312" w:eastAsia="仿宋_GB2312"/>
                <w:sz w:val="24"/>
              </w:rPr>
              <w:t>时，</w:t>
            </w:r>
            <w:r>
              <w:rPr>
                <w:rFonts w:ascii="仿宋_GB2312" w:hAnsi="仿宋_GB2312" w:cs="仿宋_GB2312" w:eastAsia="仿宋_GB2312"/>
                <w:sz w:val="24"/>
              </w:rPr>
              <w:t>平台需完成</w:t>
            </w:r>
            <w:r>
              <w:rPr>
                <w:rFonts w:ascii="仿宋_GB2312" w:hAnsi="仿宋_GB2312" w:cs="仿宋_GB2312" w:eastAsia="仿宋_GB2312"/>
                <w:sz w:val="24"/>
              </w:rPr>
              <w:t>符合实际需求的</w:t>
            </w:r>
            <w:r>
              <w:rPr>
                <w:rFonts w:ascii="仿宋_GB2312" w:hAnsi="仿宋_GB2312" w:cs="仿宋_GB2312" w:eastAsia="仿宋_GB2312"/>
                <w:sz w:val="24"/>
              </w:rPr>
              <w:t>三级等保测评</w:t>
            </w:r>
            <w:r>
              <w:rPr>
                <w:rFonts w:ascii="仿宋_GB2312" w:hAnsi="仿宋_GB2312" w:cs="仿宋_GB2312" w:eastAsia="仿宋_GB2312"/>
                <w:sz w:val="24"/>
              </w:rPr>
              <w:t>（</w:t>
            </w:r>
            <w:r>
              <w:rPr>
                <w:rFonts w:ascii="仿宋_GB2312" w:hAnsi="仿宋_GB2312" w:cs="仿宋_GB2312" w:eastAsia="仿宋_GB2312"/>
                <w:sz w:val="24"/>
              </w:rPr>
              <w:t>商用密码应用安全性评估</w:t>
            </w:r>
            <w:r>
              <w:rPr>
                <w:rFonts w:ascii="仿宋_GB2312" w:hAnsi="仿宋_GB2312" w:cs="仿宋_GB2312" w:eastAsia="仿宋_GB2312"/>
                <w:sz w:val="24"/>
              </w:rPr>
              <w:t>）</w:t>
            </w:r>
            <w:r>
              <w:rPr>
                <w:rFonts w:ascii="仿宋_GB2312" w:hAnsi="仿宋_GB2312" w:cs="仿宋_GB2312" w:eastAsia="仿宋_GB2312"/>
                <w:sz w:val="24"/>
              </w:rPr>
              <w:t>、第三方软件测评</w:t>
            </w:r>
            <w:r>
              <w:rPr>
                <w:rFonts w:ascii="仿宋_GB2312" w:hAnsi="仿宋_GB2312" w:cs="仿宋_GB2312" w:eastAsia="仿宋_GB2312"/>
                <w:sz w:val="24"/>
              </w:rPr>
              <w:t>（</w:t>
            </w:r>
            <w:r>
              <w:rPr>
                <w:rFonts w:ascii="仿宋_GB2312" w:hAnsi="仿宋_GB2312" w:cs="仿宋_GB2312" w:eastAsia="仿宋_GB2312"/>
                <w:sz w:val="24"/>
              </w:rPr>
              <w:t>CMA\CNAS</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（四）包装及运输要求</w:t>
            </w:r>
          </w:p>
          <w:p>
            <w:pPr>
              <w:pStyle w:val="null3"/>
              <w:ind w:firstLine="480"/>
              <w:jc w:val="both"/>
            </w:pPr>
            <w:r>
              <w:rPr>
                <w:rFonts w:ascii="仿宋_GB2312" w:hAnsi="仿宋_GB2312" w:cs="仿宋_GB2312" w:eastAsia="仿宋_GB2312"/>
                <w:sz w:val="24"/>
              </w:rPr>
              <w:t>1.投标人提供的设备必须具有可靠安全保护、保险措施，以防止因智能物联芯片质量与操作问题致使焊机受损。产品包装应符合国家或专业标准规定。供货时须提供配套的附件和使用说明书、合格证、维修维护指南或服务手册等技术资料文件。</w:t>
            </w:r>
          </w:p>
          <w:p>
            <w:pPr>
              <w:pStyle w:val="null3"/>
              <w:ind w:firstLine="480"/>
              <w:jc w:val="both"/>
            </w:pPr>
            <w:r>
              <w:rPr>
                <w:rFonts w:ascii="仿宋_GB2312" w:hAnsi="仿宋_GB2312" w:cs="仿宋_GB2312" w:eastAsia="仿宋_GB2312"/>
                <w:sz w:val="24"/>
              </w:rPr>
              <w:t>2.由投标人将设备直接免费送至采购人指定的位置。如在运输、搬运、安装过程中造成设备损坏，采购人有权不签收并由中标人承担相应经济损失。</w:t>
            </w:r>
          </w:p>
          <w:p>
            <w:pPr>
              <w:pStyle w:val="null3"/>
              <w:jc w:val="both"/>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1.资料要求</w:t>
            </w:r>
            <w:r>
              <w:rPr>
                <w:rFonts w:ascii="仿宋_GB2312" w:hAnsi="仿宋_GB2312" w:cs="仿宋_GB2312" w:eastAsia="仿宋_GB2312"/>
                <w:sz w:val="24"/>
              </w:rPr>
              <w:t>：</w:t>
            </w:r>
            <w:r>
              <w:rPr>
                <w:rFonts w:ascii="仿宋_GB2312" w:hAnsi="仿宋_GB2312" w:cs="仿宋_GB2312" w:eastAsia="仿宋_GB2312"/>
                <w:sz w:val="24"/>
              </w:rPr>
              <w:t>提供全套使用说明书。</w:t>
            </w:r>
          </w:p>
          <w:p>
            <w:pPr>
              <w:pStyle w:val="null3"/>
              <w:ind w:firstLine="480"/>
              <w:jc w:val="both"/>
            </w:pPr>
            <w:r>
              <w:rPr>
                <w:rFonts w:ascii="仿宋_GB2312" w:hAnsi="仿宋_GB2312" w:cs="仿宋_GB2312" w:eastAsia="仿宋_GB2312"/>
                <w:sz w:val="24"/>
              </w:rPr>
              <w:t>2.技术服务</w:t>
            </w:r>
          </w:p>
          <w:p>
            <w:pPr>
              <w:pStyle w:val="null3"/>
              <w:ind w:firstLine="480"/>
              <w:jc w:val="both"/>
            </w:pPr>
            <w:r>
              <w:rPr>
                <w:rFonts w:ascii="仿宋_GB2312" w:hAnsi="仿宋_GB2312" w:cs="仿宋_GB2312" w:eastAsia="仿宋_GB2312"/>
                <w:sz w:val="24"/>
              </w:rPr>
              <w:t>要求中标设备随机资料需齐全，备品备件齐全有效。投标人应针</w:t>
            </w:r>
            <w:r>
              <w:rPr>
                <w:rFonts w:ascii="仿宋_GB2312" w:hAnsi="仿宋_GB2312" w:cs="仿宋_GB2312" w:eastAsia="仿宋_GB2312"/>
                <w:sz w:val="24"/>
              </w:rPr>
              <w:t>对</w:t>
            </w:r>
            <w:r>
              <w:rPr>
                <w:rFonts w:ascii="仿宋_GB2312" w:hAnsi="仿宋_GB2312" w:cs="仿宋_GB2312" w:eastAsia="仿宋_GB2312"/>
                <w:sz w:val="24"/>
              </w:rPr>
              <w:t>以下人员进行培训：（</w:t>
            </w:r>
            <w:r>
              <w:rPr>
                <w:rFonts w:ascii="仿宋_GB2312" w:hAnsi="仿宋_GB2312" w:cs="仿宋_GB2312" w:eastAsia="仿宋_GB2312"/>
                <w:sz w:val="24"/>
              </w:rPr>
              <w:t>1）系统运维人员、（2）各级业务单位人员、（3）各地市企业、（4）各地市企业安管员、（5）焊工、（6）安装运维团队。使各类用户角色都能熟练使用该系统。</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1.平台符合国产化适配要求，提供国产化适配设计方案</w:t>
            </w:r>
          </w:p>
          <w:p>
            <w:pPr>
              <w:pStyle w:val="null3"/>
              <w:ind w:firstLine="480"/>
              <w:jc w:val="both"/>
            </w:pPr>
            <w:r>
              <w:rPr>
                <w:rFonts w:ascii="仿宋_GB2312" w:hAnsi="仿宋_GB2312" w:cs="仿宋_GB2312" w:eastAsia="仿宋_GB2312"/>
                <w:sz w:val="24"/>
              </w:rPr>
              <w:t>2.平台符合国家标准《信息安全技术网络安全等级保护定级指南》（GB/T22240-2020）有关要求，需通过三级等保测评。</w:t>
            </w:r>
          </w:p>
          <w:p>
            <w:pPr>
              <w:pStyle w:val="null3"/>
              <w:ind w:firstLine="480"/>
              <w:jc w:val="both"/>
            </w:pPr>
            <w:r>
              <w:rPr>
                <w:rFonts w:ascii="仿宋_GB2312" w:hAnsi="仿宋_GB2312" w:cs="仿宋_GB2312" w:eastAsia="仿宋_GB2312"/>
                <w:sz w:val="24"/>
              </w:rPr>
              <w:t>3.平台应具备设备维稳功能，实时监测平台、智能物联芯片的运行状态，保障系统在发生不可抗力风险时（如政务网中断），能够快速识别，切换应急机制，放开智能物联芯片对焊机的控制，保障企业/焊工的正常生产不受影响。</w:t>
            </w:r>
          </w:p>
          <w:p>
            <w:pPr>
              <w:pStyle w:val="null3"/>
              <w:ind w:firstLine="480"/>
              <w:jc w:val="left"/>
            </w:pPr>
            <w:r>
              <w:rPr>
                <w:rFonts w:ascii="仿宋_GB2312" w:hAnsi="仿宋_GB2312" w:cs="仿宋_GB2312" w:eastAsia="仿宋_GB2312"/>
                <w:sz w:val="24"/>
              </w:rPr>
              <w:t>4.乙方要按照项目建设需求将系统部署至省政务云。本项目所涉及的服务器、国产化操作系统、数据库、中间件由甲方协助向省级数政部门提出申请，投标产品需完整兼容甲方提供的国产化运行环境，对于不满足环境或者网络安全相关的设施未提供部分由乙方自行</w:t>
            </w:r>
            <w:r>
              <w:rPr>
                <w:rFonts w:ascii="仿宋_GB2312" w:hAnsi="仿宋_GB2312" w:cs="仿宋_GB2312" w:eastAsia="仿宋_GB2312"/>
                <w:sz w:val="24"/>
              </w:rPr>
              <w:t>解决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5.本项目为交钥匙工程，中标人应全面负责从平台建设、配件采购、网络部署、安装调试到项目验收的全周期实施工作，项目交付过程中产生的其他新增资源购置费用均由中标人承担。</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、运维服务要求</w:t>
            </w:r>
          </w:p>
          <w:p>
            <w:pPr>
              <w:pStyle w:val="null3"/>
              <w:ind w:firstLine="480"/>
              <w:jc w:val="both"/>
            </w:pPr>
            <w:r>
              <w:rPr>
                <w:rFonts w:ascii="仿宋_GB2312" w:hAnsi="仿宋_GB2312" w:cs="仿宋_GB2312" w:eastAsia="仿宋_GB2312"/>
                <w:sz w:val="24"/>
              </w:rPr>
              <w:t>运维期</w:t>
            </w:r>
            <w:r>
              <w:rPr>
                <w:rFonts w:ascii="仿宋_GB2312" w:hAnsi="仿宋_GB2312" w:cs="仿宋_GB2312" w:eastAsia="仿宋_GB2312"/>
                <w:sz w:val="24"/>
              </w:rPr>
              <w:t>：</w:t>
            </w:r>
            <w:r>
              <w:rPr>
                <w:rFonts w:ascii="仿宋_GB2312" w:hAnsi="仿宋_GB2312" w:cs="仿宋_GB2312" w:eastAsia="仿宋_GB2312"/>
                <w:sz w:val="24"/>
              </w:rPr>
              <w:t>项目验收合格后，</w:t>
            </w:r>
            <w:r>
              <w:rPr>
                <w:rFonts w:ascii="仿宋_GB2312" w:hAnsi="仿宋_GB2312" w:cs="仿宋_GB2312" w:eastAsia="仿宋_GB2312"/>
                <w:sz w:val="24"/>
              </w:rPr>
              <w:t>乙方须</w:t>
            </w:r>
            <w:r>
              <w:rPr>
                <w:rFonts w:ascii="仿宋_GB2312" w:hAnsi="仿宋_GB2312" w:cs="仿宋_GB2312" w:eastAsia="仿宋_GB2312"/>
                <w:sz w:val="24"/>
              </w:rPr>
              <w:t>免费提供</w:t>
            </w:r>
            <w:r>
              <w:rPr>
                <w:rFonts w:ascii="仿宋_GB2312" w:hAnsi="仿宋_GB2312" w:cs="仿宋_GB2312" w:eastAsia="仿宋_GB2312"/>
                <w:sz w:val="24"/>
              </w:rPr>
              <w:t>三</w:t>
            </w:r>
            <w:r>
              <w:rPr>
                <w:rFonts w:ascii="仿宋_GB2312" w:hAnsi="仿宋_GB2312" w:cs="仿宋_GB2312" w:eastAsia="仿宋_GB2312"/>
                <w:sz w:val="24"/>
              </w:rPr>
              <w:t>年的平台运维及售后服务</w:t>
            </w:r>
            <w:r>
              <w:rPr>
                <w:rFonts w:ascii="仿宋_GB2312" w:hAnsi="仿宋_GB2312" w:cs="仿宋_GB2312" w:eastAsia="仿宋_GB2312"/>
                <w:sz w:val="24"/>
              </w:rPr>
              <w:t>，</w:t>
            </w:r>
            <w:r>
              <w:rPr>
                <w:rFonts w:ascii="仿宋_GB2312" w:hAnsi="仿宋_GB2312" w:cs="仿宋_GB2312" w:eastAsia="仿宋_GB2312"/>
                <w:sz w:val="24"/>
              </w:rPr>
              <w:t>投标人自行配备运维所需的设备。</w:t>
            </w:r>
            <w:r>
              <w:rPr>
                <w:rFonts w:ascii="仿宋_GB2312" w:hAnsi="仿宋_GB2312" w:cs="仿宋_GB2312" w:eastAsia="仿宋_GB2312"/>
                <w:sz w:val="24"/>
              </w:rPr>
              <w:t>质保运维期间</w:t>
            </w:r>
            <w:r>
              <w:rPr>
                <w:rFonts w:ascii="仿宋_GB2312" w:hAnsi="仿宋_GB2312" w:cs="仿宋_GB2312" w:eastAsia="仿宋_GB2312"/>
                <w:sz w:val="24"/>
              </w:rPr>
              <w:t>投标人须提供</w:t>
            </w:r>
            <w:r>
              <w:rPr>
                <w:rFonts w:ascii="仿宋_GB2312" w:hAnsi="仿宋_GB2312" w:cs="仿宋_GB2312" w:eastAsia="仿宋_GB2312"/>
                <w:sz w:val="24"/>
              </w:rPr>
              <w:t>7×24小时的故障受理电话</w:t>
            </w:r>
            <w:r>
              <w:rPr>
                <w:rFonts w:ascii="仿宋_GB2312" w:hAnsi="仿宋_GB2312" w:cs="仿宋_GB2312" w:eastAsia="仿宋_GB2312"/>
                <w:sz w:val="24"/>
              </w:rPr>
              <w:t>，以及专人驻</w:t>
            </w:r>
            <w:r>
              <w:rPr>
                <w:rFonts w:ascii="仿宋_GB2312" w:hAnsi="仿宋_GB2312" w:cs="仿宋_GB2312" w:eastAsia="仿宋_GB2312"/>
                <w:sz w:val="24"/>
              </w:rPr>
              <w:t>场</w:t>
            </w:r>
            <w:r>
              <w:rPr>
                <w:rFonts w:ascii="仿宋_GB2312" w:hAnsi="仿宋_GB2312" w:cs="仿宋_GB2312" w:eastAsia="仿宋_GB2312"/>
                <w:sz w:val="24"/>
              </w:rPr>
              <w:t>服务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、技术培训要求</w:t>
            </w:r>
          </w:p>
          <w:p>
            <w:pPr>
              <w:pStyle w:val="null3"/>
              <w:ind w:firstLine="480"/>
              <w:jc w:val="left"/>
            </w:pPr>
            <w:r>
              <w:rPr>
                <w:rFonts w:ascii="仿宋_GB2312" w:hAnsi="仿宋_GB2312" w:cs="仿宋_GB2312" w:eastAsia="仿宋_GB2312"/>
                <w:sz w:val="24"/>
              </w:rPr>
              <w:t>1.提供完善的实施、培训方案及计划。项目实施验收前，提供系统的培训方案，要求为省、市、县三级应急管理部门业务负责人员提供全面培训，为系统使用提供远程培训。</w:t>
            </w:r>
          </w:p>
          <w:p>
            <w:pPr>
              <w:pStyle w:val="null3"/>
              <w:ind w:firstLine="480"/>
              <w:jc w:val="left"/>
            </w:pPr>
            <w:r>
              <w:rPr>
                <w:rFonts w:ascii="仿宋_GB2312" w:hAnsi="仿宋_GB2312" w:cs="仿宋_GB2312" w:eastAsia="仿宋_GB2312"/>
                <w:sz w:val="24"/>
              </w:rPr>
              <w:t>2.提供线上讲解、课件、视频等培训方式，设定培训大纲、培训计划、培训内容方案，保障企业、焊工等人员会使用安装了物联芯片的电气焊设备。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交货期：智能监管平台、智能物联芯片供货需在合同签订后20个日历日内完成；完成供货后，90个日历日内完成电气焊“加芯赋码”数字化改造的安装调试对接工作。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甲方在收到乙方履约保证金后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乙方在完成智能监管平台建设且电焊机“加芯赋码”改造的安装调试对接工作完成一万台时，经甲方验收通过后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项目经甲方验收合格并出具项目验收单后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投标，投标人除需在电子化交易系统上传投标文件外，开标当日，投标人应保持通讯畅通，以便出现询标时能及时在线。中标人在领取中标通知书前，需向采购代理机构提交加盖公章的纸质版投标文件两套，中标人应保持投标文件纸质版内容与系统上传内容完全一致，否则将承担一切法律责任。 （2）非实质性偏离：非实质性偏差不影响响应文件的有效性。以下情况属于非实质性偏差： ①文字表述的内容含义不明确的； ②同类问题表述不一致的； ③有明显文字和计算错误的； ④提供的技术信息和资料不完整的； ⑤评标委员会认定的其他非实质性偏差。 （3）中小企业判定：是否属于中小企业，投标人按《政府采购促进中小企业发展管理办法》（财库〔2020〕46号）和《统计上大中小微型企业划分办法（2017）》（国统字﹝2017﹞213号）划型标准判定，并承担责任。如判定原则与第五章不一致的，以此为准。 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其开标前三个月内基本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社会保障资金缴纳证明：提供投标人开标前六个月至今已缴存的任意一个月的社会保障资金缴存证明或社保机构开具的社会保险参保缴费情况证明；依法不需要缴纳社会保障资金的应提供相关文件证明。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提供投标人开标前六个月至今已缴纳任意一个月完税凭证或税务机关开具的完税证明（含营业税、企业所得税、增值税任意一种即可）；依法免税的应提供相关文件证明。</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本项目专门面向中小企业采购，预留份额为整体预留，投标人须填写《中小企业声明函》。</w:t>
            </w:r>
          </w:p>
        </w:tc>
        <w:tc>
          <w:tcPr>
            <w:tcW w:type="dxa" w:w="1661"/>
          </w:tcPr>
          <w:p>
            <w:pPr>
              <w:pStyle w:val="null3"/>
            </w:pPr>
            <w:r>
              <w:rPr>
                <w:rFonts w:ascii="仿宋_GB2312" w:hAnsi="仿宋_GB2312" w:cs="仿宋_GB2312" w:eastAsia="仿宋_GB2312"/>
              </w:rPr>
              <w:t>残疾人福利性单位声明函 中小企业声明函 投标人应提交的资格证明材料.docx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投标人应提交的资格证明材料.docx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（1）投标文件的签字、盖章：投标文件上法定代表人或其委托代理人的签字或盖章齐全；投标文件应逐页加盖单位公章，且公章清晰可见； （2）报价唯一：只能有一个有效报价，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标的清单 投标人应提交的资格证明材料.docx 投标文件封面 产品技术参数表.docx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（1）对招标文件响应程度：要求全面响应，不能有任何招标人不能接受的附加条件； （2）交货期：应满足招标文件要求； （3）合同条款、付款方式：应满足招标文件要求。（4）投标有效期：应满足招标文件要求。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投标人应提交的资格证明材料.docx 投标文件封面 产品技术参数表.docx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智能物联芯片的技术指标和性能对招标文件的响应程度。完全满足招标文件要求的计 15分，标▲参数一项不满足扣 1.5分，非标▲参数一项不满足扣 0.5 分，扣完为止，不计负分。 备注：投标人需提供相关“▲”产品技术指标要求的佐证材料，佐证材料为相关权威部门的检测报告（出具的检测报告签发日期需在本项目公告发布之日前）或产品彩页或产品说明书或官网截图等，产品技术资料需与投标产品型号一致，予以证明其技术参数的响应性。 如未提供相应的证明材料，视为不满足要求，不计分数。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投标人认为还需提供的其他资料.docx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具有2022年1月至今（时间以合同签订为准）的类似项目业绩证明文件，需提供合同复印件并加盖公章，每提供一份得1.0分，满分5.0分。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1、焊机分析屏： （1）系统能够在地图上展示市内焊机点位分布情况的得 0.5 分； （2）系统能够将设备编号、焊机所属企业、焊机开机时间、焊机状态等 信息形成设备画像的得 0.5 分。 （3）系统能通过地图快速查看开机焊机、关机焊机、流动焊机、预警焊机分布位置以及焊机作业画像的得0.5分； （4）系统能够定位焊机位置，并按照焊机点位分析焊机流动轨迹，以线 条形式直观展现的得 0.5 分。 2、焊工分析屏： （1）系统能够按照不同的证书颁发单位来对纳入系统管控的焊工进行分 类汇总的得1分； （2）系统能够记录无证拦截作业焊工数量的得 1 分。 3、后台管理端： （1）支持在后台对重点场所/企业信息进行综合管理，并能换定重点场所/企业电子围栏的得 1 分； （2）支持在后台对多个焊机设备设置组合开机的得1分； （3）支持在后台对设备信息进行综合管理，并能实现对焊机进行三级管控的分级管理，不同级别焊机匹配不同的扫码流程的得1 分； （4）支持在后台对焊机作业数据进行实时监测，具有监测模型配置的得 1 分。 （5）支持在后台进行特殊时期动火管控的得 1分。 （6）支持在后台审核焊工上传的从业资格证的得1分。 4、移动应用端（微信小程序）： （1）焊工能够通过移动应用（微信小程序）扫码开机得 0.5 分； （2）企业安管员能够通过移动应用（微信小程序）协同焊工扫码得 0.5 分； （3）企业管理员能够通过移动应用（微信小程序）查看本人历史作业情况得 0.5 分。 （4）监管员可通过移动应用（微信小程序）实现数据统计、焊机点位分布的等工作得 0.5 分。 注：1、以上每项演示内容要求合理、可行完全展示的计满分，未演示或演示不合理不计分。 2、投标人需提供以上功能的演示视频（递交方式1：制作投标文件时将演示视频作为附件上传；递交方式2：开标后10分钟内将演示视频发送至邮箱973870544@qq.com，并备注公司名称+项目名称+演示视频）。 3、专家根据项目建设内容要求的演示效果进行打分，视频讲解演示时间总计不得超过15分钟。</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系统演示视频.docx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具有高级软件架构设计师或信息系统项目管理师，得2分。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开发团队要求</w:t>
            </w:r>
          </w:p>
        </w:tc>
        <w:tc>
          <w:tcPr>
            <w:tcW w:type="dxa" w:w="2492"/>
          </w:tcPr>
          <w:p>
            <w:pPr>
              <w:pStyle w:val="null3"/>
            </w:pPr>
            <w:r>
              <w:rPr>
                <w:rFonts w:ascii="仿宋_GB2312" w:hAnsi="仿宋_GB2312" w:cs="仿宋_GB2312" w:eastAsia="仿宋_GB2312"/>
              </w:rPr>
              <w:t>项目组成员需配备具有专业技术能力且人数满足本项目平台建设内容的软件开发团队，人数要求不少于3人（其中软件工程师或信息系统管理工程师不少于2人），满足要求得3分；每增加一名软件设计师或软件测评师或信息系统管理工程师加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服务团队要求</w:t>
            </w:r>
          </w:p>
        </w:tc>
        <w:tc>
          <w:tcPr>
            <w:tcW w:type="dxa" w:w="2492"/>
          </w:tcPr>
          <w:p>
            <w:pPr>
              <w:pStyle w:val="null3"/>
            </w:pPr>
            <w:r>
              <w:rPr>
                <w:rFonts w:ascii="仿宋_GB2312" w:hAnsi="仿宋_GB2312" w:cs="仿宋_GB2312" w:eastAsia="仿宋_GB2312"/>
              </w:rPr>
              <w:t>①拟投入本项目安装调试团队、驻场人员等配备合理、人员计划安排非常得当、具有针对性，人员具有类似项目工作经历，得9分； ②拟投入本项目安装调试团队、驻场人员等较合理、人员计划安排较得当，人员具有类似项目工作经历，得6分； ③拟投入本项目安装调试团队、驻场人员等安排一般、人力计划可行性一般，仅能满足日常需要的得4分； ④拟投入本项目服务团队较差、人力计划安排混乱，仅能满足日常需要的得2分； ⑤无对应内容响应的本项不得分。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应用平台建设方案</w:t>
            </w:r>
          </w:p>
        </w:tc>
        <w:tc>
          <w:tcPr>
            <w:tcW w:type="dxa" w:w="2492"/>
          </w:tcPr>
          <w:p>
            <w:pPr>
              <w:pStyle w:val="null3"/>
            </w:pPr>
            <w:r>
              <w:rPr>
                <w:rFonts w:ascii="仿宋_GB2312" w:hAnsi="仿宋_GB2312" w:cs="仿宋_GB2312" w:eastAsia="仿宋_GB2312"/>
              </w:rPr>
              <w:t>投标人提供的本项目应用平台建设方案应包含以下内容： （1）项目需求分析 （2）整体架构 （3）信息系统整合对接 （4）接口设计 （5）数据设计 备注：每项内容逻辑清晰、概念准确、图例齐全、体现本项目特点与功能灵活性，降低系统复杂性的可得 3 分，满分15分，每有一项内容严重缺陷扣 2分，每有一项内容一般缺陷扣 1分，扣完为止，未提供的计 0 分。 内容严重缺陷是指：内容不合理、方案与实际严重不相符、缺少关键节点内容、与项目需求不匹配、不利于项目实施、套用其他项目方案等任意一种情形； 内容一般缺陷是指：内容较完整合理、方案与项目需求较匹配、不存在关键节点内容缺失、较利于项目实施的等任意一种情形。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应用平台建设方案.docx</w:t>
            </w:r>
          </w:p>
        </w:tc>
      </w:tr>
      <w:tr>
        <w:tc>
          <w:tcPr>
            <w:tcW w:type="dxa" w:w="831"/>
            <w:vMerge/>
          </w:tcPr>
          <w:p/>
        </w:tc>
        <w:tc>
          <w:tcPr>
            <w:tcW w:type="dxa" w:w="1661"/>
          </w:tcPr>
          <w:p>
            <w:pPr>
              <w:pStyle w:val="null3"/>
            </w:pPr>
            <w:r>
              <w:rPr>
                <w:rFonts w:ascii="仿宋_GB2312" w:hAnsi="仿宋_GB2312" w:cs="仿宋_GB2312" w:eastAsia="仿宋_GB2312"/>
              </w:rPr>
              <w:t>进度质量实施方案</w:t>
            </w:r>
          </w:p>
        </w:tc>
        <w:tc>
          <w:tcPr>
            <w:tcW w:type="dxa" w:w="2492"/>
          </w:tcPr>
          <w:p>
            <w:pPr>
              <w:pStyle w:val="null3"/>
            </w:pPr>
            <w:r>
              <w:rPr>
                <w:rFonts w:ascii="仿宋_GB2312" w:hAnsi="仿宋_GB2312" w:cs="仿宋_GB2312" w:eastAsia="仿宋_GB2312"/>
              </w:rPr>
              <w:t>投标人提供的本项目供货实施方案应包含以下内容： （1）进度保障措施：包括供货进度安排计划、产品运输进度保障措施、供货配送等方面的内容。 （2）质量保证：包括质量目标、质量保证措施，对货物的包装、装卸、清点、仓储等方案等方面的内容。 （3）投标人应具有完成本次供货的能力，保证投标产品的供货来源渠道合法正规，提供所投产品的来源渠道合法证明材料（包括但不限于产品制造商授权或销售协议或代理协议等）。 备注：每提供一项计 3分，满分9分，每有一项内容严重缺陷扣 2分，每有一项内容一般缺陷扣 1分，扣完为止，未提供的计 0 分。 内容严重缺陷是指：内容不合理、方案与实际严重不相符、缺少关键节点内容、与项目需求不匹配、不利于项目实施、套用其他项目方案等任意一种情形； 内容一般缺陷是指：内容较完整合理、方案与项目需求较匹配、不存在关键节点内容缺失、较利于项目实施的等任意一种情形。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进度质量实施方案.docx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（1）售后服务方案：包括但不限于售后方案、服务承诺、响应时限及保障措施等； （2）售后服务机构及能力：包括具有健全的售后服务机构、人员，具有针对本项目的技术支持能力等； （3）运维和配套服务方案：包括针对本项目的运维和配套服务方案； （4）产品发生故障后的补救措施（包括配件及易损件）。 备注：每提供一项计 2.5分，满分10分，每有一项内容严重缺陷扣 1.5分，每有一项内容一般缺陷扣 1分，扣完为止，未提供的计 0 分。 内容严重缺陷是指：内容不合理、方案与实际严重不相符、缺少关键节点内容、与项目需求不匹配、不利于项目实施、套用其他项目方案等任意一种情形； 内容一般缺陷是指：内容较完整合理、方案与项目需求较匹配、不存在关键节点内容缺失、较利于项目实施的等任意一种情形。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（1）培训方案：包括投标人做出对本项目全面、完整、可行、有针对性的培训方案，能够保障使用单位能熟练操作维护和正常使用等。 （2）培训内容及方式：包括但不限于培训人员、培训地点、培训时间安排、培训内容、培训计划、培训目标、培训师资和培训结果及考评方式等内容。 备注：每提供一项计 4分，满分8分，每有一项内容严重缺陷扣 3分，每有一项内容一般缺陷扣 2分，扣完为止，未提供的计 0 分。 内容严重缺陷是指：内容不合理、方案与实际严重不相符、缺少关键节点内容、与项目需求不匹配、不利于项目实施、套用其他项目方案等任意一种情形； 内容一般缺陷是指：内容较完整合理、方案与项目需求较匹配、不存在关键节点内容缺失、较利于项目实施的等任意一种情形。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详见附件：投标人应提交的资格证明材料.docx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详见附件：业绩docx.docx</w:t>
      </w:r>
    </w:p>
    <w:p>
      <w:pPr>
        <w:pStyle w:val="null3"/>
        <w:ind w:firstLine="960"/>
      </w:pPr>
      <w:r>
        <w:rPr>
          <w:rFonts w:ascii="仿宋_GB2312" w:hAnsi="仿宋_GB2312" w:cs="仿宋_GB2312" w:eastAsia="仿宋_GB2312"/>
        </w:rPr>
        <w:t>详见附件：系统演示视频.docx</w:t>
      </w:r>
    </w:p>
    <w:p>
      <w:pPr>
        <w:pStyle w:val="null3"/>
        <w:ind w:firstLine="960"/>
      </w:pPr>
      <w:r>
        <w:rPr>
          <w:rFonts w:ascii="仿宋_GB2312" w:hAnsi="仿宋_GB2312" w:cs="仿宋_GB2312" w:eastAsia="仿宋_GB2312"/>
        </w:rPr>
        <w:t>详见附件：应用平台建设方案.docx</w:t>
      </w:r>
    </w:p>
    <w:p>
      <w:pPr>
        <w:pStyle w:val="null3"/>
        <w:ind w:firstLine="960"/>
      </w:pPr>
      <w:r>
        <w:rPr>
          <w:rFonts w:ascii="仿宋_GB2312" w:hAnsi="仿宋_GB2312" w:cs="仿宋_GB2312" w:eastAsia="仿宋_GB2312"/>
        </w:rPr>
        <w:t>详见附件：进度质量实施方案.docx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详见附件：投标人认为还需提供的其他资料.docx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