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版本号：SZB-2025-002-1120250527001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陕西省知识产权局第四届秦创原高价值专利大赛项目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SZB-2025-002-11</w:t>
      </w:r>
      <w:r>
        <w:br/>
      </w:r>
      <w:r>
        <w:br/>
      </w:r>
      <w:r>
        <w:br/>
      </w:r>
    </w:p>
    <w:p>
      <w:pPr>
        <w:pStyle w:val="null3"/>
        <w:jc w:val="center"/>
        <w:outlineLvl w:val="2"/>
      </w:pPr>
      <w:r>
        <w:rPr>
          <w:rFonts w:ascii="仿宋_GB2312" w:hAnsi="仿宋_GB2312" w:cs="仿宋_GB2312" w:eastAsia="仿宋_GB2312"/>
          <w:sz w:val="28"/>
          <w:b/>
        </w:rPr>
        <w:t>陕西省知识产权局机关</w:t>
      </w:r>
    </w:p>
    <w:p>
      <w:pPr>
        <w:pStyle w:val="null3"/>
        <w:jc w:val="center"/>
        <w:outlineLvl w:val="2"/>
      </w:pPr>
      <w:r>
        <w:rPr>
          <w:rFonts w:ascii="仿宋_GB2312" w:hAnsi="仿宋_GB2312" w:cs="仿宋_GB2312" w:eastAsia="仿宋_GB2312"/>
          <w:sz w:val="28"/>
          <w:b/>
        </w:rPr>
        <w:t>陕西众恒项目管理有限公司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陕西众恒项目管理有限公司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陕西省知识产权局机关</w:t>
      </w:r>
      <w:r>
        <w:rPr>
          <w:rFonts w:ascii="仿宋_GB2312" w:hAnsi="仿宋_GB2312" w:cs="仿宋_GB2312" w:eastAsia="仿宋_GB2312"/>
        </w:rPr>
        <w:t>委托，拟对</w:t>
      </w:r>
      <w:r>
        <w:rPr>
          <w:rFonts w:ascii="仿宋_GB2312" w:hAnsi="仿宋_GB2312" w:cs="仿宋_GB2312" w:eastAsia="仿宋_GB2312"/>
        </w:rPr>
        <w:t>陕西省知识产权局第四届秦创原高价值专利大赛项目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SZB-2025-002-11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陕西省知识产权局第四届秦创原高价值专利大赛项目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推进落实国务院办公厅《专利转化运用专项行动方案（2023-2025年）》及省委、省政府关于秦创原建设的工作部署，着力深化“三个年”活动，聚力打好“八场硬仗”，通过构建"成果转化+产业赋能"双轮驱动知识产权生态体系，营造高质量创新生态，培育发展新质生产力，助力陕西经济高质量发展，根据2025年工作安排，今年将举办第四届秦创原高价值专利大赛（简称“秦高赛”）。引入有组织大型知识产权赛事经验的专业服务供应方，完成赛事评选，代发奖金，策划布展方案，视觉效果设计，会务保障，线上直播，项目路演，媒体宣传等任务；聚焦陕西省重点产业领域和新一代信息技术、人工智能、商业航天、生物制造、低空经济等战略新型产业领域，按照省知识产权局要求组织完成大赛任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1、营业执照：具有独立承担民事责任能力的法人、其他组织或自然人，提供合法有效的统一社会信用代码营业执照（其他组织提供相关证明资料，自然人应提供身份证）</w:t>
      </w:r>
    </w:p>
    <w:p>
      <w:pPr>
        <w:pStyle w:val="null3"/>
      </w:pPr>
      <w:r>
        <w:rPr>
          <w:rFonts w:ascii="仿宋_GB2312" w:hAnsi="仿宋_GB2312" w:cs="仿宋_GB2312" w:eastAsia="仿宋_GB2312"/>
        </w:rPr>
        <w:t>2、法定代表人授权书：提供法定代表人授权委托书原件（附法定代表人身份证复印件）及被授权委托人身份证（法定代表人参加投标时只须提供法定代表人身份证）</w:t>
      </w:r>
    </w:p>
    <w:p>
      <w:pPr>
        <w:pStyle w:val="null3"/>
      </w:pPr>
      <w:r>
        <w:rPr>
          <w:rFonts w:ascii="仿宋_GB2312" w:hAnsi="仿宋_GB2312" w:cs="仿宋_GB2312" w:eastAsia="仿宋_GB2312"/>
        </w:rPr>
        <w:t>3、财务状况报告：提供经审计的2023年度或2024年度的财务报告或提供开标日期前六个月内其基本账户开户银行出具的资信证明；其他组织和自然人提供银行出具的资信证明或财务报表</w:t>
      </w:r>
    </w:p>
    <w:p>
      <w:pPr>
        <w:pStyle w:val="null3"/>
      </w:pPr>
      <w:r>
        <w:rPr>
          <w:rFonts w:ascii="仿宋_GB2312" w:hAnsi="仿宋_GB2312" w:cs="仿宋_GB2312" w:eastAsia="仿宋_GB2312"/>
        </w:rPr>
        <w:t>4、税收缴纳证明：提供已缴纳的本年度或上年度任一月份的缴税凭证。依法免税的供应商应提供相关文件证明</w:t>
      </w:r>
    </w:p>
    <w:p>
      <w:pPr>
        <w:pStyle w:val="null3"/>
      </w:pPr>
      <w:r>
        <w:rPr>
          <w:rFonts w:ascii="仿宋_GB2312" w:hAnsi="仿宋_GB2312" w:cs="仿宋_GB2312" w:eastAsia="仿宋_GB2312"/>
        </w:rPr>
        <w:t>5、社会保障资金缴纳证明：提供已缴存的本年度或上年度任一月份的社会保障资金缴存单据或社保机构开具的社会保险参保缴费情况证明或提供其它相关证明资料，单据或证明上应有社保机构或代收机构的公章。依法不需要缴纳社会保障资金的服务商应提供相关文件证明</w:t>
      </w:r>
    </w:p>
    <w:p>
      <w:pPr>
        <w:pStyle w:val="null3"/>
      </w:pPr>
      <w:r>
        <w:rPr>
          <w:rFonts w:ascii="仿宋_GB2312" w:hAnsi="仿宋_GB2312" w:cs="仿宋_GB2312" w:eastAsia="仿宋_GB2312"/>
        </w:rPr>
        <w:t>6、信用记录：参加本次政府采购活动前3年内在经营活动中没有重大违纪，以及未被列入失信被执行人、重大税收违法案件当事人名单、政府采购严重违法失信行为记录名单</w:t>
      </w:r>
    </w:p>
    <w:p>
      <w:pPr>
        <w:pStyle w:val="null3"/>
      </w:pPr>
      <w:r>
        <w:rPr>
          <w:rFonts w:ascii="仿宋_GB2312" w:hAnsi="仿宋_GB2312" w:cs="仿宋_GB2312" w:eastAsia="仿宋_GB2312"/>
        </w:rPr>
        <w:t>7、信用主体查询：供应商通过“信用中国”网站(www.creditchina.gov.cn)查询相关主体信用记录，查询时间须在采购文件发售期至开标截止时间之间，并将网页截图附在响应文件中</w:t>
      </w:r>
    </w:p>
    <w:p>
      <w:pPr>
        <w:pStyle w:val="null3"/>
      </w:pPr>
      <w:r>
        <w:rPr>
          <w:rFonts w:ascii="仿宋_GB2312" w:hAnsi="仿宋_GB2312" w:cs="仿宋_GB2312" w:eastAsia="仿宋_GB2312"/>
        </w:rPr>
        <w:t>8、书面声明：具有履行合同所必需的专业技术和行业组织协调能力的承诺函</w:t>
      </w:r>
    </w:p>
    <w:p>
      <w:pPr>
        <w:pStyle w:val="null3"/>
      </w:pPr>
      <w:r>
        <w:rPr>
          <w:rFonts w:ascii="仿宋_GB2312" w:hAnsi="仿宋_GB2312" w:cs="仿宋_GB2312" w:eastAsia="仿宋_GB2312"/>
        </w:rPr>
        <w:t>9、《非联合体投标声明》：本项目不接受联合体投标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陕西省知识产权局机关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新城大院内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蔺老师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029-63916862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陕西众恒项目管理有限公司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西安市雁翔路99号交大博源科技广场C座12层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18821775788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代理服务费收费标准：招标代理服务费由中标人在领取中标通知书前向招标代理机构支付 ，参照国家计委计价格【2002】 1980号文，一次性收取。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陕西省知识产权局机关</w:t>
      </w:r>
      <w:r>
        <w:rPr>
          <w:rFonts w:ascii="仿宋_GB2312" w:hAnsi="仿宋_GB2312" w:cs="仿宋_GB2312" w:eastAsia="仿宋_GB2312"/>
        </w:rPr>
        <w:t>和</w:t>
      </w:r>
      <w:r>
        <w:rPr>
          <w:rFonts w:ascii="仿宋_GB2312" w:hAnsi="仿宋_GB2312" w:cs="仿宋_GB2312" w:eastAsia="仿宋_GB2312"/>
        </w:rPr>
        <w:t>陕西众恒项目管理有限公司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陕西省知识产权局机关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陕西众恒项目管理有限公司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陕西省知识产权局机关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联系人：李楠</w:t>
      </w:r>
    </w:p>
    <w:p>
      <w:pPr>
        <w:pStyle w:val="null3"/>
      </w:pPr>
      <w:r>
        <w:rPr>
          <w:rFonts w:ascii="仿宋_GB2312" w:hAnsi="仿宋_GB2312" w:cs="仿宋_GB2312" w:eastAsia="仿宋_GB2312"/>
        </w:rPr>
        <w:t>联系电话：18821775788</w:t>
      </w:r>
    </w:p>
    <w:p>
      <w:pPr>
        <w:pStyle w:val="null3"/>
      </w:pPr>
      <w:r>
        <w:rPr>
          <w:rFonts w:ascii="仿宋_GB2312" w:hAnsi="仿宋_GB2312" w:cs="仿宋_GB2312" w:eastAsia="仿宋_GB2312"/>
        </w:rPr>
        <w:t>地址：西安市雁翔路99号交大博源科技广场C座12层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推进落实国务院办公厅《专利转化运用专项行动方案（2023-2025年）》及省委、省政府关于秦创原建设的工作部署，着力深化“三个年”活动，聚力打好“八场硬仗”，通过构建"成果转化+产业赋能"双轮驱动知识产权生态体系，营造高质量创新生态，培育发展新质生产力，助力陕西经济高质量发展，根据2025年工作安排，今年将举办第四届秦创原高价值专利大赛（简称“秦高赛”）。引入有组织大型知识产权赛事经验的专业服务供应方，完成赛事评选，代发奖金，策划布展方案，视觉效果设计，会务保障，线上直播，项目路演，媒体宣传等任务；聚焦陕西省重点产业领域和新一代信息技术、人工智能、商业航天、生物制造、低空经济等战略新型产业领域，按照省知识产权局要求组织完成大赛任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陕西省知识产权局第四届秦创原高价值专利大赛项目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标的名称：陕西省知识产权局第四届秦创原高价值专利大赛项目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复赛阶段项目专利评议，考察专利创新性、稳定性、保护范围及撰写质量等；决赛阶段项目评估，考察专利布局、专利价值等。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大赛各阶段专家筛选及邀请，包括知识产权专家、技术专家、产业专家、投资专家等，支付专家劳务费、路费。</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新闻稿撰写、邀请媒体单位、比赛资讯定向推送、海报设计、新闻投放、视频拍摄、现场专访、专题搭建等。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大赛最终获奖队伍奖金发放</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大赛各阶段会务工作，包括：场地、主持人、礼仪、会务资料、、住宿交通、彩排签到等。</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大赛各阶段布展方案、视觉效果设计、场地布置、提供所需设备等，包括：舞台、行道旗、工牌、桌签、引导牌、</w:t>
            </w:r>
            <w:r>
              <w:rPr>
                <w:rFonts w:ascii="仿宋_GB2312" w:hAnsi="仿宋_GB2312" w:cs="仿宋_GB2312" w:eastAsia="仿宋_GB2312"/>
                <w:sz w:val="24"/>
              </w:rPr>
              <w:t>KT版、X展架、海报等物料。</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按照招标文件及合同要求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按照招标文件及合同要求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按《民法典》相关规定执行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具有独立承担民事责任能力的法人、其他组织或自然人，提供合法有效的统一社会信用代码营业执照（其他组织提供相关证明资料，自然人应提供身份证）</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提供法定代表人授权委托书原件（附法定代表人身份证复印件）及被授权委托人身份证（法定代表人参加投标时只须提供法定代表人身份证）</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提供经审计的2023年度或2024年度的财务报告或提供开标日期前六个月内其基本账户开户银行出具的资信证明；其他组织和自然人提供银行出具的资信证明或财务报表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提供已缴纳的本年度或上年度任一月份的缴税凭证。依法免税的供应商应提供相关文件证明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本年度或上年度任一月份的社会保障资金缴存单据或社保机构开具的社会保险参保缴费情况证明或提供其它相关证明资料，单据或证明上应有社保机构或代收机构的公章。依法不需要缴纳社会保障资金的服务商应提供相关文件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供应商通过“信用中国”网站(www.creditchina.gov.cn)查询相关主体信用记录，查询时间须在采购文件发售期至开标截止时间之间，并将网页截图附在响应文件中</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具有履行合同所必需的专业技术和行业组织协调能力的承诺函</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赛事评选</w:t>
            </w:r>
          </w:p>
        </w:tc>
        <w:tc>
          <w:tcPr>
            <w:tcW w:type="dxa" w:w="2492"/>
          </w:tcPr>
          <w:p>
            <w:pPr>
              <w:pStyle w:val="null3"/>
            </w:pPr>
            <w:r>
              <w:rPr>
                <w:rFonts w:ascii="仿宋_GB2312" w:hAnsi="仿宋_GB2312" w:cs="仿宋_GB2312" w:eastAsia="仿宋_GB2312"/>
              </w:rPr>
              <w:t>根据赛事内容，组建大赛专业评审委员会，完成各阶段项目评审，复赛项目和决赛项目知识产权评议；总体规划切实可行的7-10分，规划较为合理的赋4-7分，方案较差赋0-4分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策划布展方案</w:t>
            </w:r>
          </w:p>
        </w:tc>
        <w:tc>
          <w:tcPr>
            <w:tcW w:type="dxa" w:w="2492"/>
          </w:tcPr>
          <w:p>
            <w:pPr>
              <w:pStyle w:val="null3"/>
            </w:pPr>
            <w:r>
              <w:rPr>
                <w:rFonts w:ascii="仿宋_GB2312" w:hAnsi="仿宋_GB2312" w:cs="仿宋_GB2312" w:eastAsia="仿宋_GB2312"/>
              </w:rPr>
              <w:t>秦高赛各阶段视觉效果设计及场地布置，提供大赛所需相关设备及会务服务，组织机构及工作安排基本完善、合理，岗位分工明确得12-20分； 基本合理得7-12分；一般得0-7分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会务服务</w:t>
            </w:r>
          </w:p>
        </w:tc>
        <w:tc>
          <w:tcPr>
            <w:tcW w:type="dxa" w:w="2492"/>
          </w:tcPr>
          <w:p>
            <w:pPr>
              <w:pStyle w:val="null3"/>
            </w:pPr>
            <w:r>
              <w:rPr>
                <w:rFonts w:ascii="仿宋_GB2312" w:hAnsi="仿宋_GB2312" w:cs="仿宋_GB2312" w:eastAsia="仿宋_GB2312"/>
              </w:rPr>
              <w:t>大赛各阶段会务工作，包括：场地、主持人、礼仪、会务资料、住宿交通、彩排签到等。工作安排有序、有详细的服务攻略赋10-15分，服务方案较为合理赋5-10分，措施方案粗略赋0-5分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配套活动组织</w:t>
            </w:r>
          </w:p>
        </w:tc>
        <w:tc>
          <w:tcPr>
            <w:tcW w:type="dxa" w:w="2492"/>
          </w:tcPr>
          <w:p>
            <w:pPr>
              <w:pStyle w:val="null3"/>
            </w:pPr>
            <w:r>
              <w:rPr>
                <w:rFonts w:ascii="仿宋_GB2312" w:hAnsi="仿宋_GB2312" w:cs="仿宋_GB2312" w:eastAsia="仿宋_GB2312"/>
              </w:rPr>
              <w:t>提供展览配套活动组织的详细方案，组织项目路演，代发秦高赛奖金、奖杯、证书及纪念奖品等，方案详细、合理、全面得9-14分；方案基本合理得4-9分；提供的项目策划方案较差的，得0-4分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供应商结合本项目实际情况制定合理、可行、完整的总体进度计划及保障措施。 进度计划及保障措施内容完整且时效性强，能够切合本项目实际情况对进度关键节点的控制和保障措施详细描述，完全满足采购要求，计7-10分； 进度计划及保障措施内容单一，基本可行，计4-7分； 进度计划及保障措施有偏差，没有针对性，计0-4分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赛事宣传</w:t>
            </w:r>
          </w:p>
        </w:tc>
        <w:tc>
          <w:tcPr>
            <w:tcW w:type="dxa" w:w="2492"/>
          </w:tcPr>
          <w:p>
            <w:pPr>
              <w:pStyle w:val="null3"/>
            </w:pPr>
            <w:r>
              <w:rPr>
                <w:rFonts w:ascii="仿宋_GB2312" w:hAnsi="仿宋_GB2312" w:cs="仿宋_GB2312" w:eastAsia="仿宋_GB2312"/>
              </w:rPr>
              <w:t>新闻稿撰写、邀请媒体单位、比赛资讯定向推送、海报设计、新闻投放、视频拍摄、现场专访、专题搭建等。根据赛事性质积极宣传，提升曝光量，突出亮点赋10-15分，宣传方案较为合理赋5-10分，宣传方案粗略或者不全面赋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提供供应商2022年1月1日至今举办过国家级大型知识产权类展览会议的，每提供1个得3分；举办过知识产权类展览会议的，每提供一个得2分；本项目最高得6分。 （业绩证明包括：合同，以合同签订时间为准，须附合同的扫描件加盖公章）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评标基准价：通过资格性审查和符合性审查且报价最低的投标报价为评标基准价。 投标报价得分：投标报价得分统一按照下列公式计算： 价格分=(评标基准价／投标报价)×价格权值×100 （注：如评标委员会一致认为最低报价或某些分项报价明显不合理，有降低质量、不能诚信履约的可能时，评标委员会有权通知投标人进行解释。如投标人未能在规定期限内作出解释，或所作解释不合理，经评标委员会取得一致意见后，对该投标人将不予推荐。）</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