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版本号：LR2025-ZC040220250528001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信息中心改造项目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LR2025-ZC0402</w:t>
      </w:r>
      <w:r>
        <w:br/>
      </w:r>
      <w:r>
        <w:br/>
      </w:r>
      <w:r>
        <w:br/>
      </w:r>
    </w:p>
    <w:p>
      <w:pPr>
        <w:pStyle w:val="null3"/>
        <w:jc w:val="center"/>
        <w:outlineLvl w:val="2"/>
      </w:pPr>
      <w:r>
        <w:rPr>
          <w:rFonts w:ascii="仿宋_GB2312" w:hAnsi="仿宋_GB2312" w:cs="仿宋_GB2312" w:eastAsia="仿宋_GB2312"/>
          <w:sz w:val="28"/>
          <w:b/>
        </w:rPr>
        <w:t>陕西交通技师学院</w:t>
      </w:r>
    </w:p>
    <w:p>
      <w:pPr>
        <w:pStyle w:val="null3"/>
        <w:jc w:val="center"/>
        <w:outlineLvl w:val="2"/>
      </w:pPr>
      <w:r>
        <w:rPr>
          <w:rFonts w:ascii="仿宋_GB2312" w:hAnsi="仿宋_GB2312" w:cs="仿宋_GB2312" w:eastAsia="仿宋_GB2312"/>
          <w:sz w:val="28"/>
          <w:b/>
        </w:rPr>
        <w:t>陕西里仁项目管理有限公司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陕西交通技师学院</w:t>
      </w:r>
      <w:r>
        <w:rPr>
          <w:rFonts w:ascii="仿宋_GB2312" w:hAnsi="仿宋_GB2312" w:cs="仿宋_GB2312" w:eastAsia="仿宋_GB2312"/>
        </w:rPr>
        <w:t>委托，拟对</w:t>
      </w:r>
      <w:r>
        <w:rPr>
          <w:rFonts w:ascii="仿宋_GB2312" w:hAnsi="仿宋_GB2312" w:cs="仿宋_GB2312" w:eastAsia="仿宋_GB2312"/>
        </w:rPr>
        <w:t>信息中心改造项目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LR2025-ZC0402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信息中心改造项目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信息中心改造项目，项目位于西咸新区泾河新城（泾阳永乐），对信息中心进行给排水、暖、电、门窗、卫生间、室内部分楼道、地面、墙面以及外墙改造等。具体详见采购文件。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采购包1（信息中心改造项目）：属于专门面向中小企业采购。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7月1日以来至少一个月的依法缴纳税收的相关凭据（时间以税款所属日期为准、税种须包含增值税或企业所得税），凭据应有税务机关或代收机关的公章或业务专用章；其他组织和自然人提供2024年7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7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p>
      <w:pPr>
        <w:pStyle w:val="null3"/>
      </w:pPr>
      <w:r>
        <w:rPr>
          <w:rFonts w:ascii="仿宋_GB2312" w:hAnsi="仿宋_GB2312" w:cs="仿宋_GB2312" w:eastAsia="仿宋_GB2312"/>
        </w:rPr>
        <w:t>8、供应商资质要求：供应商需具备建设行政主管部门颁发的建筑工程施工总承包贰级以上（含贰级）资质，且具备防水防腐保温工程专业承包贰级以上（含贰级）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9、拟派项目经理要求：拟派项目经理须提供建筑工程专业贰级以上（含贰级）建造师证书及安全生产考核合格证，或提供加盖公章的二维码电子证书，在本单位注册且无在建工程；供应商需在项目电子化交易系统中按要求上传相应证明文件并进行电子签章。</w:t>
      </w:r>
    </w:p>
    <w:p>
      <w:pPr>
        <w:pStyle w:val="null3"/>
      </w:pPr>
      <w:r>
        <w:rPr>
          <w:rFonts w:ascii="仿宋_GB2312" w:hAnsi="仿宋_GB2312" w:cs="仿宋_GB2312" w:eastAsia="仿宋_GB2312"/>
        </w:rPr>
        <w:t>10、其他要求：外省进陕企业提供陕西省住房和城乡建设厅官网企业库外省进陕企业信息首页截图；供应商需在项目电子化交易系统中按要求上传相应证明文件并进行电子签章。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陕西交通技师学院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陕西省西安市西咸新区泾河新城（泾阳永乐）</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713702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13892922581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合同签订时，供应商须向采购人提交合同总价的5%作为履约保证金；3、采购人验收合格后，供应商申请，采购人将履约保证金（无息）退还供应商。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代理服务费收费标准：1、代理服务费的收取参见国家计委颁布的《招标代理服务收费管理暂行办法》(计价格[2002]1980 号)和(发改办价格[2003]857 号)收费标准（含税）。 2、支付方式：成交供应商应在领取通知书的同时，支付本项目代理服务费。收款账户如下：收款单位：陕西里仁项目管理有限公司 开户银行：招商银行股份有限公司西安城南支行 银行账号：129909983110902 3、转账时备注：代理服务费。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陕西交通技师学院</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陕西交通技师学院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陕西交通技师学院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1、按磋商文件、响应文件、澄清表（函）、合同及附件文本； 2、按国家及省市相应的标准、规范等为依据。 3、履约验收组织单位：采购人有关部门。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联系人：朱钢</w:t>
      </w:r>
    </w:p>
    <w:p>
      <w:pPr>
        <w:pStyle w:val="null3"/>
      </w:pPr>
      <w:r>
        <w:rPr>
          <w:rFonts w:ascii="仿宋_GB2312" w:hAnsi="仿宋_GB2312" w:cs="仿宋_GB2312" w:eastAsia="仿宋_GB2312"/>
        </w:rPr>
        <w:t>联系电话：029-68926580</w:t>
      </w:r>
    </w:p>
    <w:p>
      <w:pPr>
        <w:pStyle w:val="null3"/>
      </w:pPr>
      <w:r>
        <w:rPr>
          <w:rFonts w:ascii="仿宋_GB2312" w:hAnsi="仿宋_GB2312" w:cs="仿宋_GB2312" w:eastAsia="仿宋_GB2312"/>
        </w:rPr>
        <w:t>地址：西安市雁塔区高新路31号凯创国际2幢1002室</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848,870.79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信息中心改造项目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标的名称：信息中心改造项目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一、工程概况：</w:t>
            </w:r>
          </w:p>
          <w:p>
            <w:pPr>
              <w:pStyle w:val="null3"/>
              <w:ind w:firstLine="400"/>
            </w:pPr>
            <w:r>
              <w:rPr>
                <w:rFonts w:ascii="仿宋_GB2312" w:hAnsi="仿宋_GB2312" w:cs="仿宋_GB2312" w:eastAsia="仿宋_GB2312"/>
                <w:sz w:val="20"/>
              </w:rPr>
              <w:t>项目位于西咸新区泾河新城（泾阳永乐），对信息中心进行给排水、暖、电、门窗、卫生间、室内部分楼道、地面、墙面以及外墙改造等。</w:t>
            </w:r>
          </w:p>
          <w:p>
            <w:pPr>
              <w:pStyle w:val="null3"/>
            </w:pPr>
            <w:r>
              <w:rPr>
                <w:rFonts w:ascii="仿宋_GB2312" w:hAnsi="仿宋_GB2312" w:cs="仿宋_GB2312" w:eastAsia="仿宋_GB2312"/>
                <w:sz w:val="20"/>
              </w:rPr>
              <w:t>二、清单报价编制要求：</w:t>
            </w:r>
          </w:p>
          <w:p>
            <w:pPr>
              <w:pStyle w:val="null3"/>
            </w:pPr>
            <w:r>
              <w:rPr>
                <w:rFonts w:ascii="仿宋_GB2312" w:hAnsi="仿宋_GB2312" w:cs="仿宋_GB2312" w:eastAsia="仿宋_GB2312"/>
                <w:sz w:val="20"/>
              </w:rPr>
              <w:t>（1）按照《2009陕西省建设工程工程量清单计价规则》、2004年《陕西省建筑装饰工程消耗量定额》、2004年《陕西省安装工程消耗量定额》、2009年《陕西省建设工程消耗量定额勘误及补充定额》、《陕西省建设工程造价管理办法》（陕西省人民政府令第133号）、2009年《陕西省建筑装饰安装工程价目表》计价及其配套文件等编制。</w:t>
            </w:r>
          </w:p>
          <w:p>
            <w:pPr>
              <w:pStyle w:val="null3"/>
            </w:pPr>
            <w:r>
              <w:rPr>
                <w:rFonts w:ascii="仿宋_GB2312" w:hAnsi="仿宋_GB2312" w:cs="仿宋_GB2312" w:eastAsia="仿宋_GB2312"/>
                <w:sz w:val="20"/>
              </w:rPr>
              <w:t>（2）供应商应充分考虑磋商文件的各项要求和本工程的实际情况，根据自身实力，充分考虑材料价格、人工费、物价上涨等市场变化的风险，自主报价，风险自担。</w:t>
            </w:r>
          </w:p>
          <w:p>
            <w:pPr>
              <w:pStyle w:val="null3"/>
            </w:pPr>
            <w:r>
              <w:rPr>
                <w:rFonts w:ascii="仿宋_GB2312" w:hAnsi="仿宋_GB2312" w:cs="仿宋_GB2312" w:eastAsia="仿宋_GB2312"/>
                <w:sz w:val="20"/>
              </w:rPr>
              <w:t>（3）不可竞争的规费、税金、安全文明施工费按计价规则的规定计取，劳保统筹按规定计取，磋商报价中包含所有费用。</w:t>
            </w:r>
          </w:p>
          <w:p>
            <w:pPr>
              <w:pStyle w:val="null3"/>
            </w:pPr>
            <w:r>
              <w:rPr>
                <w:rFonts w:ascii="仿宋_GB2312" w:hAnsi="仿宋_GB2312" w:cs="仿宋_GB2312" w:eastAsia="仿宋_GB2312"/>
                <w:sz w:val="20"/>
              </w:rPr>
              <w:t>（4）本工程材料采购需采购人进行认质。</w:t>
            </w:r>
          </w:p>
          <w:p>
            <w:pPr>
              <w:pStyle w:val="null3"/>
            </w:pPr>
            <w:r>
              <w:rPr>
                <w:rFonts w:ascii="仿宋_GB2312" w:hAnsi="仿宋_GB2312" w:cs="仿宋_GB2312" w:eastAsia="仿宋_GB2312"/>
                <w:sz w:val="20"/>
              </w:rPr>
              <w:t>（5）已标价工程量清单（电子投标书）应采用正版广联达云计价平台（GCCP6.0，陕西地区6.4100.23.122）编制，用U盘拷贝。开标现场清标查验电子版响应文件，未提供电子版或提供光盘或不符合磋商文件要求的电子版或电子版文件无法打开，按无效文件处理。</w:t>
            </w:r>
          </w:p>
          <w:p>
            <w:pPr>
              <w:pStyle w:val="null3"/>
            </w:pPr>
            <w:r>
              <w:rPr>
                <w:rFonts w:ascii="仿宋_GB2312" w:hAnsi="仿宋_GB2312" w:cs="仿宋_GB2312" w:eastAsia="仿宋_GB2312"/>
                <w:sz w:val="20"/>
              </w:rPr>
              <w:t>三、质保要求：按国家及省市相关规定</w:t>
            </w:r>
          </w:p>
          <w:p>
            <w:pPr>
              <w:pStyle w:val="null3"/>
            </w:pPr>
            <w:r>
              <w:rPr>
                <w:rFonts w:ascii="仿宋_GB2312" w:hAnsi="仿宋_GB2312" w:cs="仿宋_GB2312" w:eastAsia="仿宋_GB2312"/>
                <w:sz w:val="20"/>
              </w:rPr>
              <w:t>四、工期要求：30个日历日</w:t>
            </w:r>
          </w:p>
          <w:p>
            <w:pPr>
              <w:pStyle w:val="null3"/>
            </w:pPr>
            <w:r>
              <w:rPr>
                <w:rFonts w:ascii="仿宋_GB2312" w:hAnsi="仿宋_GB2312" w:cs="仿宋_GB2312" w:eastAsia="仿宋_GB2312"/>
                <w:sz w:val="20"/>
              </w:rPr>
              <w:t>五、工程质量：合格</w:t>
            </w:r>
          </w:p>
          <w:p>
            <w:pPr>
              <w:pStyle w:val="null3"/>
            </w:pPr>
            <w:r>
              <w:rPr>
                <w:rFonts w:ascii="仿宋_GB2312" w:hAnsi="仿宋_GB2312" w:cs="仿宋_GB2312" w:eastAsia="仿宋_GB2312"/>
                <w:sz w:val="20"/>
              </w:rPr>
              <w:t>六、付款方式：采购人结算，在付款前必须开具等额发票给采购人。</w:t>
            </w:r>
          </w:p>
          <w:p>
            <w:pPr>
              <w:pStyle w:val="null3"/>
            </w:pPr>
            <w:r>
              <w:rPr>
                <w:rFonts w:ascii="仿宋_GB2312" w:hAnsi="仿宋_GB2312" w:cs="仿宋_GB2312" w:eastAsia="仿宋_GB2312"/>
                <w:sz w:val="20"/>
              </w:rPr>
              <w:t>（1）合同签订后10日内，支付合同总价的40%（包含安全文明施工费）；</w:t>
            </w:r>
          </w:p>
          <w:p>
            <w:pPr>
              <w:pStyle w:val="null3"/>
            </w:pPr>
            <w:r>
              <w:rPr>
                <w:rFonts w:ascii="仿宋_GB2312" w:hAnsi="仿宋_GB2312" w:cs="仿宋_GB2312" w:eastAsia="仿宋_GB2312"/>
                <w:sz w:val="20"/>
              </w:rPr>
              <w:t>（2）工程竣工验收合格后10日内，支付合同总价的50%；</w:t>
            </w:r>
          </w:p>
          <w:p>
            <w:pPr>
              <w:pStyle w:val="null3"/>
            </w:pPr>
            <w:r>
              <w:rPr>
                <w:rFonts w:ascii="仿宋_GB2312" w:hAnsi="仿宋_GB2312" w:cs="仿宋_GB2312" w:eastAsia="仿宋_GB2312"/>
                <w:sz w:val="20"/>
              </w:rPr>
              <w:t>（3）工程结算完成后10日内，支付至结算总价的100%；若结算价高于合同价，以合同价为准。</w:t>
            </w:r>
          </w:p>
          <w:p>
            <w:pPr>
              <w:pStyle w:val="null3"/>
            </w:pPr>
            <w:r>
              <w:rPr>
                <w:rFonts w:ascii="仿宋_GB2312" w:hAnsi="仿宋_GB2312" w:cs="仿宋_GB2312" w:eastAsia="仿宋_GB2312"/>
                <w:sz w:val="20"/>
              </w:rPr>
              <w:t>七、质量保证：成交供应商应当保证工程质量完全符合磋商文件的要求，并对工程质量问题负责。本项目为交钥匙工程，质量标准：符合《建筑安装质量检验评定统一标准》等国家以及配套的相关工程质量验收规范的合格等级，并达到采购人质量要求和交付使用要求。因供应商原因拖延工期，每拖后一天按5000元/天处罚，累计拖延7天，合同自动解除，供应商自行离场，由此引起的一切后果，由供应商承担。凡因对施工现场、施工环境、市场行情等了解不清而造成的后果和风险，由供应商自行承担。</w:t>
            </w:r>
          </w:p>
          <w:p>
            <w:pPr>
              <w:pStyle w:val="null3"/>
              <w:jc w:val="both"/>
            </w:pPr>
            <w:r>
              <w:rPr>
                <w:rFonts w:ascii="仿宋_GB2312" w:hAnsi="仿宋_GB2312" w:cs="仿宋_GB2312" w:eastAsia="仿宋_GB2312"/>
                <w:sz w:val="20"/>
              </w:rPr>
              <w:t>八、采购项目执行内容需要调整时，经采购人同意后，可以对相应的内容进行调整，并协商确定价格差额计算方法和负担办法。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sz w:val="20"/>
              </w:rPr>
              <w:t>九、验收：达到使用条件时由采购人负责组织验收，验收合格后须交接项目实施的全部资料，并填写政府采购项目验收报告单。验收须以合同、磋商文件及响应文件、澄清、国家及省市相应的标准、规范等为依据。</w:t>
            </w:r>
          </w:p>
          <w:p>
            <w:pPr>
              <w:pStyle w:val="null3"/>
            </w:pPr>
            <w:r>
              <w:rPr>
                <w:rFonts w:ascii="仿宋_GB2312" w:hAnsi="仿宋_GB2312" w:cs="仿宋_GB2312" w:eastAsia="仿宋_GB2312"/>
                <w:sz w:val="21"/>
              </w:rPr>
              <w:t>十、合同争议的解决：合同执行中发生争议的，当事人双方应协商解决，协商达不成一致时，可向采购人所在地人民法院提请诉讼。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施工应按国家现行标准和相应的行业技术规范执行，这些标准和技术规范应为合同签订日为止最新公布发行的标准和技术规范。包括但不限于：GB50300-2013《建筑工程施工质量验收统一标准》及GB50210-2018《建筑装饰装修工程质量验收标准》。 2、主材要求采用正品品牌报价（报价不得低于材料采购价）。工程用所有材料必须有合格证、检测报告及相关资料，达到环保标准。3、应切实加强施工安全管理，如因措施不力造成人员伤亡或财产损失等一切事故，供应商负全责并承担所有费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 2、供应商须在磋商截止时间前向代理机构递交密封完好的电子化交易系统生成的纸质版响应文件叁份（正本壹份、副本贰份，胶装，密封袋外层标注供应商名称和项目名称）、广联达云计价平台（GCCP6.0，陕西地区6.4100.23.122）已标价工程量清单（电子投标书）电子版壹份（U盘，标明供应商名称，随正本密封）。代理机构对递交的文件签收，由监标人查验密封情况并记录。 递交方式：现场递交。递交文件地点：西安市高新区高新路31号凯创国际2幢10楼会议室。若在线提交的响应文件与纸质响应文件不一致的，以在线提交的响应文件为准。 3、注意事项：（1）按供应商须知前附表磋商保证金规定交纳；（2）以保函形式交纳磋商保证金的，供应商应在磋商截止时间前将保函扫描成清晰的PDF文件，发送至邮箱1245105254@qq.com（邮件命名：项目编号+项目名称），并将保函原件单独递交至代理机构财务；供应商应在响应文件中附保函复印件。保函必须由具有开具投标保函资格的单位开具；若供应商违约，开具保函单位承担连带责任。（3）供应商报名成功后，在代理机构领取纸质图纸。领取时须出示供应商从项目电子化交易系统获取的磋商文件回执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在项目电子化交易系统中应按要求填写《响应函》、应提供《供应商企业关系关联承诺书》附直接控股和直接管理关系清单并进行电子签章。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1日以来至少一个月的依法缴纳税收的相关凭据（时间以税款所属日期为准、税种须包含增值税或企业所得税），凭据应有税务机关或代收机关的公章或业务专用章；其他组织和自然人提供2024年7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磋商授权委托</w:t>
            </w:r>
          </w:p>
        </w:tc>
        <w:tc>
          <w:tcPr>
            <w:tcW w:type="dxa" w:w="3322"/>
          </w:tcPr>
          <w:p>
            <w:pPr>
              <w:pStyle w:val="null3"/>
            </w:pPr>
            <w:r>
              <w:rPr>
                <w:rFonts w:ascii="仿宋_GB2312" w:hAnsi="仿宋_GB2312" w:cs="仿宋_GB2312" w:eastAsia="仿宋_GB2312"/>
              </w:rPr>
              <w:t>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需具备建设行政主管部门颁发的建筑工程施工总承包贰级以上（含贰级）资质，且具备防水防腐保温工程专业承包贰级以上（含贰级）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须提供建筑工程专业贰级以上（含贰级）建造师证书及安全生产考核合格证，或提供加盖公章的二维码电子证书，在本单位注册且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外省进陕企业提供陕西省住房和城乡建设厅官网企业库外省进陕企业信息首页截图；供应商需在项目电子化交易系统中按要求上传相应证明文件并进行电子签章。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评审过程中，磋商小组认为供应商报价明显低于其他实质性响应的供应商报价，有可能影响项目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磋商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主要材料品牌清单 施工保修承诺 已标价工程量清单 供应商类似项目业绩证明材料 电子版响应承诺 商务偏离表 报价函 标的清单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响应文件按磋商文件要求的语言、计量单位、报价货币；按磋商文件要求签署、盖章；供应商名称应填写全称，供应商名称与营业执照一致。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主要材料品牌清单 施工保修承诺 已标价工程量清单 供应商类似项目业绩证明材料 电子版响应承诺 商务偏离表 报价函 标的清单 响应函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磋商保证金交纳</w:t>
            </w:r>
          </w:p>
        </w:tc>
        <w:tc>
          <w:tcPr>
            <w:tcW w:type="dxa" w:w="3322"/>
          </w:tcPr>
          <w:p>
            <w:pPr>
              <w:pStyle w:val="null3"/>
            </w:pPr>
            <w:r>
              <w:rPr>
                <w:rFonts w:ascii="仿宋_GB2312" w:hAnsi="仿宋_GB2312" w:cs="仿宋_GB2312" w:eastAsia="仿宋_GB2312"/>
              </w:rPr>
              <w:t>按磋商文件规定交纳磋商保证金。</w:t>
            </w:r>
          </w:p>
        </w:tc>
        <w:tc>
          <w:tcPr>
            <w:tcW w:type="dxa" w:w="1661"/>
          </w:tcPr>
          <w:p>
            <w:pPr>
              <w:pStyle w:val="null3"/>
            </w:pPr>
            <w:r>
              <w:rPr>
                <w:rFonts w:ascii="仿宋_GB2312" w:hAnsi="仿宋_GB2312" w:cs="仿宋_GB2312" w:eastAsia="仿宋_GB2312"/>
              </w:rPr>
              <w:t>磋商保证金交纳凭据</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工期符合磋商文件要求。</w:t>
            </w:r>
          </w:p>
        </w:tc>
        <w:tc>
          <w:tcPr>
            <w:tcW w:type="dxa" w:w="1661"/>
          </w:tcPr>
          <w:p>
            <w:pPr>
              <w:pStyle w:val="null3"/>
            </w:pPr>
            <w:r>
              <w:rPr>
                <w:rFonts w:ascii="仿宋_GB2312" w:hAnsi="仿宋_GB2312" w:cs="仿宋_GB2312" w:eastAsia="仿宋_GB2312"/>
              </w:rPr>
              <w:t>商务偏离表 报价函 标的清单 施工组织设计2-确保工期的技术组织措施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已标价工程量清单（电子投标书）电子版</w:t>
            </w:r>
          </w:p>
        </w:tc>
        <w:tc>
          <w:tcPr>
            <w:tcW w:type="dxa" w:w="3322"/>
          </w:tcPr>
          <w:p>
            <w:pPr>
              <w:pStyle w:val="null3"/>
            </w:pPr>
            <w:r>
              <w:rPr>
                <w:rFonts w:ascii="仿宋_GB2312" w:hAnsi="仿宋_GB2312" w:cs="仿宋_GB2312" w:eastAsia="仿宋_GB2312"/>
              </w:rPr>
              <w:t>电子版符合磋商文件要求。</w:t>
            </w:r>
          </w:p>
        </w:tc>
        <w:tc>
          <w:tcPr>
            <w:tcW w:type="dxa" w:w="1661"/>
          </w:tcPr>
          <w:p>
            <w:pPr>
              <w:pStyle w:val="null3"/>
            </w:pPr>
            <w:r>
              <w:rPr>
                <w:rFonts w:ascii="仿宋_GB2312" w:hAnsi="仿宋_GB2312" w:cs="仿宋_GB2312" w:eastAsia="仿宋_GB2312"/>
              </w:rPr>
              <w:t>电子版响应承诺</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一、评审内容：项目经理部组成人员配置齐全，职责分工明确，提供人员相关证书证明文件资料。二、评审标准：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本文所称“瑕疵”是指存在对同一问题前后表述矛盾、存在逻辑漏洞、科学原理或常识错误等。本文所称“缺陷”是指存在不适用本项目特性、套用其他项目内容、内容缺项、内容不完整或缺少关键点、不利于本项目目标的实现、现有技术条件下不可能出现的情形等。下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施工组织设计1-项目经理部组成</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一、评审内容：工期满足要求、节点工期分析合理、技术组织措施科学合理、施工进度表或施工网络图。二、评审标准：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施工组织设计2-确保工期的技术组织措施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一、评审内容：包含施工流程、施工技术方案、重点部位及关键节点的施工方法、符合相关规范及行业标准。二、评审标准：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10分；有一处瑕疵得8分；有两处瑕疵或有一处缺陷得6分；有三处瑕疵或有两处缺陷得4分；有四处瑕疵或有三处缺陷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施工组织设计3-施工方案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一、评审内容：质量目标明确、质量管理组织体系完善、质量管理措施科学。二、评审标准：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施工组织设计4-确保工程质量的技术组织措施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一、评审内容：安全目标明确、安全体系健全、应急预案可行、技术组织措施科学合理。二、评审标准： 1.完整性：方案必须全面，对评审内容中的各项要求有详细描述； 2.可实施性：切合本项目实际情况，提出步骤清晰、合理的方案； 3.针对性：方案能够紧扣项目实际情况，内容科学合理。三、完全满足每个评审标准、无瑕疵无缺陷得6分；有一处瑕疵得5分；有两处瑕疵或有一处缺陷得4分；有三处瑕疵或有两处缺陷得2分；未提供不得分。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施工组织设计5-确保安全生产的技术组织措施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一、评审内容：施工机械配备合理、劳动力安排合理、材料投入符合采购要求。二、评审标准：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施工组织设计6-施工机械配备和材料投入计划</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一、评审内容：提供的应用科学先进可实施。二、评审标准：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施工组织设计7-新技术、新产品、新工艺、新材料应用</w:t>
            </w:r>
          </w:p>
        </w:tc>
      </w:tr>
      <w:tr>
        <w:tc>
          <w:tcPr>
            <w:tcW w:type="dxa" w:w="831"/>
            <w:vMerge/>
          </w:tcPr>
          <w:p/>
        </w:tc>
        <w:tc>
          <w:tcPr>
            <w:tcW w:type="dxa" w:w="1661"/>
          </w:tcPr>
          <w:p>
            <w:pPr>
              <w:pStyle w:val="null3"/>
            </w:pPr>
            <w:r>
              <w:rPr>
                <w:rFonts w:ascii="仿宋_GB2312" w:hAnsi="仿宋_GB2312" w:cs="仿宋_GB2312" w:eastAsia="仿宋_GB2312"/>
              </w:rPr>
              <w:t>确保文明施工措施</w:t>
            </w:r>
          </w:p>
        </w:tc>
        <w:tc>
          <w:tcPr>
            <w:tcW w:type="dxa" w:w="2492"/>
          </w:tcPr>
          <w:p>
            <w:pPr>
              <w:pStyle w:val="null3"/>
            </w:pPr>
            <w:r>
              <w:rPr>
                <w:rFonts w:ascii="仿宋_GB2312" w:hAnsi="仿宋_GB2312" w:cs="仿宋_GB2312" w:eastAsia="仿宋_GB2312"/>
              </w:rPr>
              <w:t>一、评审内容：文明施工措施具体、包含场地整洁、噪音控制、扬尘治理等。二、评审标准：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施工组织设计8-确保文明施工</w:t>
            </w:r>
          </w:p>
        </w:tc>
      </w:tr>
      <w:tr>
        <w:tc>
          <w:tcPr>
            <w:tcW w:type="dxa" w:w="831"/>
            <w:vMerge/>
          </w:tcPr>
          <w:p/>
        </w:tc>
        <w:tc>
          <w:tcPr>
            <w:tcW w:type="dxa" w:w="1661"/>
          </w:tcPr>
          <w:p>
            <w:pPr>
              <w:pStyle w:val="null3"/>
            </w:pPr>
            <w:r>
              <w:rPr>
                <w:rFonts w:ascii="仿宋_GB2312" w:hAnsi="仿宋_GB2312" w:cs="仿宋_GB2312" w:eastAsia="仿宋_GB2312"/>
              </w:rPr>
              <w:t>主要材料品牌清单</w:t>
            </w:r>
          </w:p>
        </w:tc>
        <w:tc>
          <w:tcPr>
            <w:tcW w:type="dxa" w:w="2492"/>
          </w:tcPr>
          <w:p>
            <w:pPr>
              <w:pStyle w:val="null3"/>
            </w:pPr>
            <w:r>
              <w:rPr>
                <w:rFonts w:ascii="仿宋_GB2312" w:hAnsi="仿宋_GB2312" w:cs="仿宋_GB2312" w:eastAsia="仿宋_GB2312"/>
              </w:rPr>
              <w:t>一、评审内容：提供主要材料的品牌、型号等详细清单（清单内容均适用于本工程，包括但不限于材料名称、品牌、规格、材质等）。二、评审标准：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主要材料品牌清单</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供应商提供自2022年1月1日至今（以合同签订时间为准）类似业绩证明材料（业绩包括合同、成交通知书及竣工验收证明，三者缺一不可），每提供1项得1分，最多得6分。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供应商类似项目业绩证明材料</w:t>
            </w:r>
          </w:p>
        </w:tc>
      </w:tr>
      <w:tr>
        <w:tc>
          <w:tcPr>
            <w:tcW w:type="dxa" w:w="831"/>
            <w:vMerge/>
          </w:tcPr>
          <w:p/>
        </w:tc>
        <w:tc>
          <w:tcPr>
            <w:tcW w:type="dxa" w:w="1661"/>
          </w:tcPr>
          <w:p>
            <w:pPr>
              <w:pStyle w:val="null3"/>
            </w:pPr>
            <w:r>
              <w:rPr>
                <w:rFonts w:ascii="仿宋_GB2312" w:hAnsi="仿宋_GB2312" w:cs="仿宋_GB2312" w:eastAsia="仿宋_GB2312"/>
              </w:rPr>
              <w:t>施工保修承诺书</w:t>
            </w:r>
          </w:p>
        </w:tc>
        <w:tc>
          <w:tcPr>
            <w:tcW w:type="dxa" w:w="2492"/>
          </w:tcPr>
          <w:p>
            <w:pPr>
              <w:pStyle w:val="null3"/>
            </w:pPr>
            <w:r>
              <w:rPr>
                <w:rFonts w:ascii="仿宋_GB2312" w:hAnsi="仿宋_GB2312" w:cs="仿宋_GB2312" w:eastAsia="仿宋_GB2312"/>
              </w:rPr>
              <w:t>一、评审内容：提供可行的、并符合国家相关规范的保修措施，具有详细的质保期内保修承诺。二、评审标准： 1.完整性：方案必须全面，对评审内容中的各项要求有详细描述； 2.可实施性：切合本项目实际情况，提出步骤清晰、合理的方案； 3.针对性：方案能够紧扣项目实际情况，内容科学合理。三、赋分标准：完全满足每个评审标准、无瑕疵无缺陷得6分；有一处瑕疵得5分；有两处瑕疵或有一处缺陷得4分；有三处瑕疵或有两处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施工保修承诺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磋商报价采用低价优先法计算，即满足竞争性磋商文件要求且磋商报价最低的报价为评审基准价，其价格分为满分。其他供应商的价格分统一按照下列公式计算： 磋商报价得分=（评审基准价/磋商报价）×报价分值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详见附件：施工组织设计1-项目经理部组成</w:t>
      </w:r>
    </w:p>
    <w:p>
      <w:pPr>
        <w:pStyle w:val="null3"/>
        <w:ind w:firstLine="960"/>
      </w:pPr>
      <w:r>
        <w:rPr>
          <w:rFonts w:ascii="仿宋_GB2312" w:hAnsi="仿宋_GB2312" w:cs="仿宋_GB2312" w:eastAsia="仿宋_GB2312"/>
        </w:rPr>
        <w:t>详见附件：施工组织设计2-确保工期的技术组织措施</w:t>
      </w:r>
    </w:p>
    <w:p>
      <w:pPr>
        <w:pStyle w:val="null3"/>
        <w:ind w:firstLine="960"/>
      </w:pPr>
      <w:r>
        <w:rPr>
          <w:rFonts w:ascii="仿宋_GB2312" w:hAnsi="仿宋_GB2312" w:cs="仿宋_GB2312" w:eastAsia="仿宋_GB2312"/>
        </w:rPr>
        <w:t>详见附件：施工组织设计3-施工方案</w:t>
      </w:r>
    </w:p>
    <w:p>
      <w:pPr>
        <w:pStyle w:val="null3"/>
        <w:ind w:firstLine="960"/>
      </w:pPr>
      <w:r>
        <w:rPr>
          <w:rFonts w:ascii="仿宋_GB2312" w:hAnsi="仿宋_GB2312" w:cs="仿宋_GB2312" w:eastAsia="仿宋_GB2312"/>
        </w:rPr>
        <w:t>详见附件：施工组织设计4-确保工程质量的技术组织措施</w:t>
      </w:r>
    </w:p>
    <w:p>
      <w:pPr>
        <w:pStyle w:val="null3"/>
        <w:ind w:firstLine="960"/>
      </w:pPr>
      <w:r>
        <w:rPr>
          <w:rFonts w:ascii="仿宋_GB2312" w:hAnsi="仿宋_GB2312" w:cs="仿宋_GB2312" w:eastAsia="仿宋_GB2312"/>
        </w:rPr>
        <w:t>详见附件：施工组织设计5-确保安全生产的技术组织措施</w:t>
      </w:r>
    </w:p>
    <w:p>
      <w:pPr>
        <w:pStyle w:val="null3"/>
        <w:ind w:firstLine="960"/>
      </w:pPr>
      <w:r>
        <w:rPr>
          <w:rFonts w:ascii="仿宋_GB2312" w:hAnsi="仿宋_GB2312" w:cs="仿宋_GB2312" w:eastAsia="仿宋_GB2312"/>
        </w:rPr>
        <w:t>详见附件：施工组织设计6-施工机械配备和材料投入计划</w:t>
      </w:r>
    </w:p>
    <w:p>
      <w:pPr>
        <w:pStyle w:val="null3"/>
        <w:ind w:firstLine="960"/>
      </w:pPr>
      <w:r>
        <w:rPr>
          <w:rFonts w:ascii="仿宋_GB2312" w:hAnsi="仿宋_GB2312" w:cs="仿宋_GB2312" w:eastAsia="仿宋_GB2312"/>
        </w:rPr>
        <w:t>详见附件：施工组织设计7-新技术、新产品、新工艺、新材料应用</w:t>
      </w:r>
    </w:p>
    <w:p>
      <w:pPr>
        <w:pStyle w:val="null3"/>
        <w:ind w:firstLine="960"/>
      </w:pPr>
      <w:r>
        <w:rPr>
          <w:rFonts w:ascii="仿宋_GB2312" w:hAnsi="仿宋_GB2312" w:cs="仿宋_GB2312" w:eastAsia="仿宋_GB2312"/>
        </w:rPr>
        <w:t>详见附件：施工组织设计8-确保文明施工</w:t>
      </w:r>
    </w:p>
    <w:p>
      <w:pPr>
        <w:pStyle w:val="null3"/>
        <w:ind w:firstLine="960"/>
      </w:pPr>
      <w:r>
        <w:rPr>
          <w:rFonts w:ascii="仿宋_GB2312" w:hAnsi="仿宋_GB2312" w:cs="仿宋_GB2312" w:eastAsia="仿宋_GB2312"/>
        </w:rPr>
        <w:t>详见附件：主要材料品牌清单</w:t>
      </w:r>
    </w:p>
    <w:p>
      <w:pPr>
        <w:pStyle w:val="null3"/>
        <w:ind w:firstLine="960"/>
      </w:pPr>
      <w:r>
        <w:rPr>
          <w:rFonts w:ascii="仿宋_GB2312" w:hAnsi="仿宋_GB2312" w:cs="仿宋_GB2312" w:eastAsia="仿宋_GB2312"/>
        </w:rPr>
        <w:t>详见附件：供应商类似项目业绩证明材料</w:t>
      </w:r>
    </w:p>
    <w:p>
      <w:pPr>
        <w:pStyle w:val="null3"/>
        <w:ind w:firstLine="960"/>
      </w:pPr>
      <w:r>
        <w:rPr>
          <w:rFonts w:ascii="仿宋_GB2312" w:hAnsi="仿宋_GB2312" w:cs="仿宋_GB2312" w:eastAsia="仿宋_GB2312"/>
        </w:rPr>
        <w:t>详见附件：施工保修承诺</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详见附件：磋商保证金交纳凭据</w:t>
      </w:r>
    </w:p>
    <w:p>
      <w:pPr>
        <w:pStyle w:val="null3"/>
        <w:ind w:firstLine="960"/>
      </w:pPr>
      <w:r>
        <w:rPr>
          <w:rFonts w:ascii="仿宋_GB2312" w:hAnsi="仿宋_GB2312" w:cs="仿宋_GB2312" w:eastAsia="仿宋_GB2312"/>
        </w:rPr>
        <w:t>详见附件：电子版响应承诺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