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76743">
      <w:pPr>
        <w:pStyle w:val="3"/>
        <w:rPr>
          <w:rFonts w:cs="宋体" w:eastAsiaTheme="minorEastAsia"/>
          <w:color w:val="auto"/>
          <w:highlight w:val="none"/>
        </w:rPr>
      </w:pPr>
      <w:r>
        <w:rPr>
          <w:rFonts w:hint="eastAsia" w:cs="宋体" w:eastAsiaTheme="minorEastAsia"/>
          <w:color w:val="auto"/>
          <w:highlight w:val="none"/>
          <w:lang w:val="en-US" w:eastAsia="zh-CN"/>
        </w:rPr>
        <w:t>采购</w:t>
      </w:r>
      <w:r>
        <w:rPr>
          <w:rFonts w:cs="宋体" w:eastAsiaTheme="minorEastAsia"/>
          <w:color w:val="auto"/>
          <w:highlight w:val="none"/>
        </w:rPr>
        <w:t>合同</w:t>
      </w:r>
    </w:p>
    <w:p w14:paraId="3015CC07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甲方（买方）：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  </w:t>
      </w:r>
    </w:p>
    <w:p w14:paraId="309475B9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乙方（卖方）：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       </w:t>
      </w:r>
    </w:p>
    <w:p w14:paraId="4EA5897F">
      <w:pPr>
        <w:kinsoku w:val="0"/>
        <w:spacing w:line="440" w:lineRule="exact"/>
        <w:ind w:firstLine="600" w:firstLineChars="250"/>
        <w:rPr>
          <w:rFonts w:hint="eastAsia" w:ascii="宋体" w:hAnsi="宋体" w:eastAsia="宋体" w:cs="宋体"/>
          <w:color w:val="auto"/>
          <w:highlight w:val="none"/>
        </w:rPr>
      </w:pPr>
    </w:p>
    <w:p w14:paraId="004AE1E2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根据《中华人民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</w:rPr>
        <w:t>共和国政府采购法》、《中华人民共和国民法典》等法律法规，甲方通过</w:t>
      </w:r>
      <w:r>
        <w:rPr>
          <w:rFonts w:hint="eastAsia" w:ascii="宋体" w:hAnsi="宋体" w:eastAsia="宋体" w:cs="宋体"/>
          <w:color w:val="auto"/>
          <w:highlight w:val="none"/>
          <w:u w:val="none"/>
        </w:rPr>
        <w:t>公开招标</w:t>
      </w:r>
      <w:r>
        <w:rPr>
          <w:rFonts w:hint="eastAsia" w:ascii="宋体" w:hAnsi="宋体" w:eastAsia="宋体" w:cs="宋体"/>
          <w:color w:val="auto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highlight w:val="none"/>
        </w:rPr>
        <w:t>选定乙方为中标供应商。甲、乙双方在平等基础上协商一致，达成如下合同条款：</w:t>
      </w:r>
    </w:p>
    <w:p w14:paraId="189F8238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一、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合同内容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503"/>
        <w:gridCol w:w="1269"/>
        <w:gridCol w:w="1037"/>
        <w:gridCol w:w="779"/>
        <w:gridCol w:w="779"/>
        <w:gridCol w:w="779"/>
        <w:gridCol w:w="779"/>
        <w:gridCol w:w="784"/>
      </w:tblGrid>
      <w:tr w14:paraId="722B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24" w:type="pct"/>
            <w:vAlign w:val="center"/>
          </w:tcPr>
          <w:p w14:paraId="790850F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72" w:type="pct"/>
            <w:vAlign w:val="center"/>
          </w:tcPr>
          <w:p w14:paraId="2E849DC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737" w:type="pct"/>
            <w:vAlign w:val="center"/>
          </w:tcPr>
          <w:p w14:paraId="36DE407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品牌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型号</w:t>
            </w:r>
          </w:p>
        </w:tc>
        <w:tc>
          <w:tcPr>
            <w:tcW w:w="602" w:type="pct"/>
            <w:vAlign w:val="center"/>
          </w:tcPr>
          <w:p w14:paraId="6B0BE136"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制造商</w:t>
            </w:r>
          </w:p>
        </w:tc>
        <w:tc>
          <w:tcPr>
            <w:tcW w:w="452" w:type="pct"/>
            <w:vAlign w:val="center"/>
          </w:tcPr>
          <w:p w14:paraId="2265F56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452" w:type="pct"/>
            <w:vAlign w:val="center"/>
          </w:tcPr>
          <w:p w14:paraId="0E163A1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452" w:type="pct"/>
            <w:vAlign w:val="center"/>
          </w:tcPr>
          <w:p w14:paraId="1659AA8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452" w:type="pct"/>
            <w:vAlign w:val="center"/>
          </w:tcPr>
          <w:p w14:paraId="6B5834D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总价</w:t>
            </w:r>
          </w:p>
        </w:tc>
        <w:tc>
          <w:tcPr>
            <w:tcW w:w="454" w:type="pct"/>
            <w:vAlign w:val="center"/>
          </w:tcPr>
          <w:p w14:paraId="0B2A576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24E1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24" w:type="pct"/>
            <w:vAlign w:val="center"/>
          </w:tcPr>
          <w:p w14:paraId="3C241F7F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72" w:type="pct"/>
            <w:vAlign w:val="center"/>
          </w:tcPr>
          <w:p w14:paraId="4C70797A"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7" w:type="pct"/>
            <w:vAlign w:val="center"/>
          </w:tcPr>
          <w:p w14:paraId="43D7010F">
            <w:pPr>
              <w:widowControl/>
              <w:spacing w:line="240" w:lineRule="auto"/>
              <w:jc w:val="left"/>
              <w:rPr>
                <w:rFonts w:cs="宋体" w:asciiTheme="minorEastAsia" w:hAnsiTheme="minorEastAsia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02" w:type="pct"/>
            <w:vAlign w:val="center"/>
          </w:tcPr>
          <w:p w14:paraId="6271BC4D">
            <w:pPr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vAlign w:val="center"/>
          </w:tcPr>
          <w:p w14:paraId="6E102ED4">
            <w:pPr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vAlign w:val="center"/>
          </w:tcPr>
          <w:p w14:paraId="5235B645">
            <w:pPr>
              <w:adjustRightInd w:val="0"/>
              <w:snapToGrid w:val="0"/>
              <w:spacing w:line="440" w:lineRule="exact"/>
              <w:jc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vAlign w:val="center"/>
          </w:tcPr>
          <w:p w14:paraId="4C3F08B4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2" w:type="pct"/>
            <w:vAlign w:val="center"/>
          </w:tcPr>
          <w:p w14:paraId="016B9978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54" w:type="pct"/>
            <w:vAlign w:val="center"/>
          </w:tcPr>
          <w:p w14:paraId="1F0D435C">
            <w:pPr>
              <w:autoSpaceDN w:val="0"/>
              <w:spacing w:line="440" w:lineRule="exact"/>
              <w:jc w:val="center"/>
              <w:textAlignment w:val="center"/>
              <w:rPr>
                <w:rFonts w:cs="宋体" w:asciiTheme="minorEastAsia" w:hAnsiTheme="minorEastAsia"/>
                <w:color w:val="auto"/>
                <w:sz w:val="21"/>
                <w:szCs w:val="21"/>
                <w:highlight w:val="none"/>
              </w:rPr>
            </w:pPr>
          </w:p>
        </w:tc>
      </w:tr>
      <w:tr w14:paraId="6AD1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1397" w:type="pct"/>
            <w:gridSpan w:val="2"/>
            <w:vAlign w:val="center"/>
          </w:tcPr>
          <w:p w14:paraId="0DE3BD54"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总计（人民币/元）</w:t>
            </w:r>
          </w:p>
        </w:tc>
        <w:tc>
          <w:tcPr>
            <w:tcW w:w="3602" w:type="pct"/>
            <w:gridSpan w:val="7"/>
            <w:vAlign w:val="center"/>
          </w:tcPr>
          <w:p w14:paraId="43DD0AEC">
            <w:pPr>
              <w:adjustRightInd w:val="0"/>
              <w:snapToGrid w:val="0"/>
              <w:spacing w:line="440" w:lineRule="exact"/>
              <w:rPr>
                <w:rFonts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￥：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（大写：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）</w:t>
            </w:r>
          </w:p>
        </w:tc>
      </w:tr>
    </w:tbl>
    <w:p w14:paraId="3554AAFC">
      <w:pPr>
        <w:kinsoku w:val="0"/>
        <w:spacing w:line="440" w:lineRule="exact"/>
        <w:ind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（参数附件说明）</w:t>
      </w:r>
    </w:p>
    <w:p w14:paraId="357D21F3">
      <w:pPr>
        <w:kinsoku w:val="0"/>
        <w:spacing w:line="440" w:lineRule="exact"/>
        <w:ind w:right="-250" w:rightChars="-104" w:firstLine="600" w:firstLineChars="25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乙方负责按以上确定的产品规格、型号及配套内容进行供货，及时运到甲方指定交货地点安装调试，确保所有产品达到最佳运行状态，做好售后服务工作。</w:t>
      </w:r>
    </w:p>
    <w:p w14:paraId="43A79E98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二、合同价格</w:t>
      </w:r>
    </w:p>
    <w:p w14:paraId="3BF1307B">
      <w:pPr>
        <w:kinsoku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合同总价：人民币大写：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highlight w:val="none"/>
        </w:rPr>
        <w:t>元。</w:t>
      </w:r>
    </w:p>
    <w:p w14:paraId="4D022F23">
      <w:pPr>
        <w:kinsoku w:val="0"/>
        <w:spacing w:line="440" w:lineRule="exact"/>
        <w:ind w:right="-365" w:rightChars="-152"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合同总价包括：所供货物、服务且验收合格的所有费用，包括出厂价、运杂费（含保险）、仓储保管费、安装调试费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highlight w:val="none"/>
        </w:rPr>
        <w:t>、检测费、人工费、利润、税费等其他一切相关费用；包括从产品供应地点到交货地点，且使产品具备使用条件的一切费用。合同总价不可变更，不受市场价变化的影响，不受实际数量变化的影响。</w:t>
      </w:r>
    </w:p>
    <w:p w14:paraId="73A14EF0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三、款项支付</w:t>
      </w:r>
    </w:p>
    <w:p w14:paraId="309B8A3F">
      <w:pPr>
        <w:kinsoku w:val="0"/>
        <w:spacing w:line="440" w:lineRule="exact"/>
        <w:ind w:right="-365" w:rightChars="-152" w:firstLine="480" w:firstLineChars="200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合同签订后分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highlight w:val="none"/>
        </w:rPr>
        <w:t>次付款。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第一次为</w:t>
      </w:r>
      <w:r>
        <w:rPr>
          <w:rFonts w:hint="eastAsia"/>
          <w:color w:val="auto"/>
          <w:highlight w:val="none"/>
        </w:rPr>
        <w:t>合同签订后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达到付款条件起1</w:t>
      </w:r>
      <w:r>
        <w:rPr>
          <w:rFonts w:hint="eastAsia"/>
          <w:color w:val="auto"/>
          <w:highlight w:val="none"/>
          <w:lang w:val="en-US" w:eastAsia="zh-CN"/>
        </w:rPr>
        <w:t>0</w:t>
      </w:r>
      <w:r>
        <w:rPr>
          <w:rFonts w:hint="eastAsia"/>
          <w:color w:val="auto"/>
          <w:highlight w:val="none"/>
        </w:rPr>
        <w:t>日内，支付合同总金额的70.00%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</w:t>
      </w:r>
      <w:r>
        <w:rPr>
          <w:rFonts w:hint="eastAsia"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第二次为货到验收合格后，达到付款条件起10日内，支付合同总金额的30.00%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即</w:t>
      </w:r>
      <w:r>
        <w:rPr>
          <w:rFonts w:hint="eastAsia" w:ascii="宋体" w:hAnsi="宋体" w:eastAsia="宋体" w:cs="宋体"/>
          <w:color w:val="auto"/>
          <w:highlight w:val="none"/>
        </w:rPr>
        <w:t>人民币大写：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；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小写：</w:t>
      </w:r>
      <w:r>
        <w:rPr>
          <w:rFonts w:hint="default" w:ascii="Arial" w:hAnsi="Arial" w:eastAsia="宋体" w:cs="Arial"/>
          <w:color w:val="auto"/>
          <w:highlight w:val="none"/>
        </w:rPr>
        <w:t>¥</w:t>
      </w:r>
      <w:r>
        <w:rPr>
          <w:rFonts w:hint="eastAsia" w:ascii="Arial" w:hAnsi="Arial" w:eastAsia="宋体" w:cs="Arial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/>
          <w:color w:val="auto"/>
          <w:highlight w:val="none"/>
        </w:rPr>
        <w:t>；</w:t>
      </w:r>
    </w:p>
    <w:p w14:paraId="28B8125A">
      <w:pPr>
        <w:adjustRightInd w:val="0"/>
        <w:snapToGrid w:val="0"/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四、交货条件</w:t>
      </w:r>
    </w:p>
    <w:p w14:paraId="3E412F49">
      <w:pPr>
        <w:kinsoku w:val="0"/>
        <w:spacing w:line="440" w:lineRule="exact"/>
        <w:ind w:right="-365" w:rightChars="-152"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1、交货地点：甲方指定地点</w:t>
      </w:r>
    </w:p>
    <w:p w14:paraId="286BF5B0">
      <w:pPr>
        <w:widowControl/>
        <w:ind w:firstLine="480" w:firstLineChars="200"/>
        <w:jc w:val="left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2、交货期限：自合同签订之日起 30日历天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内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 w:bidi="ar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 w:bidi="ar"/>
        </w:rPr>
        <w:t>如遇特殊情况顺延。</w:t>
      </w:r>
    </w:p>
    <w:p w14:paraId="56772E01">
      <w:pPr>
        <w:widowControl/>
        <w:ind w:firstLine="480" w:firstLineChars="20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 xml:space="preserve">3、质保期：验收合格之日起 1 年。 </w:t>
      </w:r>
    </w:p>
    <w:p w14:paraId="1471F2E5">
      <w:pPr>
        <w:widowControl/>
        <w:ind w:firstLine="480" w:firstLineChars="200"/>
        <w:jc w:val="left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bidi="ar"/>
        </w:rPr>
        <w:t>4、售后要求：质保期内，发生质量问题，乙方自接到甲方通知后，1 小时内响应，应于 4 小时内派出专业的维修人员到现场进行检测维修，12 小时内完成修复，发生的全部费用由乙方承担。</w:t>
      </w:r>
    </w:p>
    <w:p w14:paraId="0436BC9E"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五、运输方式：</w:t>
      </w:r>
      <w:r>
        <w:rPr>
          <w:rFonts w:hint="eastAsia" w:ascii="宋体" w:hAnsi="宋体" w:eastAsia="宋体" w:cs="宋体"/>
          <w:color w:val="auto"/>
          <w:highlight w:val="none"/>
        </w:rPr>
        <w:t>根据产品特性，由乙方在保证产品质量的前提下，自行选择运输及包装方式，发生的一切费用全部由乙方承担。</w:t>
      </w:r>
    </w:p>
    <w:p w14:paraId="35C1A1C5">
      <w:pPr>
        <w:adjustRightInd w:val="0"/>
        <w:snapToGrid w:val="0"/>
        <w:spacing w:line="440" w:lineRule="exact"/>
        <w:ind w:firstLine="482" w:firstLineChars="20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六、质量保证</w:t>
      </w:r>
    </w:p>
    <w:p w14:paraId="5BFC52A6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1、乙方保证所有产品全部符合国家及行业强制性标准；</w:t>
      </w:r>
    </w:p>
    <w:p w14:paraId="4DEB153F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2、乙方保证所提供的产品质量可靠，进货渠道正常，配置合理，技术性能完全满足招标文件要求；</w:t>
      </w:r>
    </w:p>
    <w:p w14:paraId="3ED834F4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若产品所用原材料或加工工艺造成的质量和内外观缺陷问题，由乙方负责解决并承担费用。（乙方保证货物是全新的、未曾使用过的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696B2630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4、产品性能未达到技术要求的，乙方限期内进行整改；整改仍达不到要求的，甲方有权解除合同，保留依法索赔的权利。</w:t>
      </w:r>
    </w:p>
    <w:p w14:paraId="03964FEC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5、质保期内若发生产品质量问题，乙方应立即免费解决；否则，甲方有权从剩余合同款中支付相关费用。</w:t>
      </w:r>
    </w:p>
    <w:p w14:paraId="33E62ED5">
      <w:pPr>
        <w:adjustRightInd w:val="0"/>
        <w:snapToGrid w:val="0"/>
        <w:spacing w:line="440" w:lineRule="exact"/>
        <w:ind w:firstLine="359" w:firstLineChars="149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七、安装、调试及技术服务</w:t>
      </w:r>
    </w:p>
    <w:p w14:paraId="1CFC0DD0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1、技术资料包括：出厂检测报告、产品使用说明书、合格证等其它相关资料。</w:t>
      </w:r>
    </w:p>
    <w:p w14:paraId="6B5AE3D4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质保期内免费维护，并免费提供备品、备件，更换故障部件、产品等，乙方在接到用户对所购产品进行维修的要求后，及时到用户现场进行维修服务，全部费用由乙方支付，若需将产品送回生产厂，由乙方支付维修产品所需的往返费用。</w:t>
      </w:r>
    </w:p>
    <w:p w14:paraId="73FB1D7D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3、乙方保证产品完全按招标要求提供，若达不到要求，乙方须及时跟甲方沟通协商更换产品，并按照再次验收合格时间相应延长该产品保修期。</w:t>
      </w:r>
    </w:p>
    <w:p w14:paraId="7F4FC862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4、服务承诺：按投标文件中的服务承诺执行。</w:t>
      </w:r>
    </w:p>
    <w:p w14:paraId="2C0438C6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5、乙方人员在安装调试过程中出现的安全责任问题由乙方全权负责。</w:t>
      </w:r>
    </w:p>
    <w:p w14:paraId="127E46A4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6、设备安装调试结束后，安排技术人员进行培训，达到操作熟练程度。</w:t>
      </w:r>
    </w:p>
    <w:p w14:paraId="43D6A9F4">
      <w:pPr>
        <w:adjustRightInd w:val="0"/>
        <w:snapToGrid w:val="0"/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八、产品包装及环保要求</w:t>
      </w:r>
    </w:p>
    <w:p w14:paraId="53888CF0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本项目标的产品如需要包装或快递的，乙方须严格按照“关于印发《商品包装政府采购需求标准（试行）》、 《快递包装政府采购需求标准（试行）》的通知（财办库〔2020〕123号）”规定执行。</w:t>
      </w:r>
    </w:p>
    <w:p w14:paraId="720A2193">
      <w:pPr>
        <w:tabs>
          <w:tab w:val="left" w:pos="5355"/>
        </w:tabs>
        <w:spacing w:line="440" w:lineRule="exact"/>
        <w:ind w:firstLine="506" w:firstLineChars="210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九、违约责任：</w:t>
      </w:r>
    </w:p>
    <w:p w14:paraId="0CD19B9A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1、按《中华人民共和国民法典》中的相关条款执行。</w:t>
      </w:r>
    </w:p>
    <w:p w14:paraId="0BD3940C">
      <w:pPr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未按合同要求提供产品或产品质量不能满足合同约定的技术要求，甲方有权终止合同，乙方须无条件全额退回甲方已付给乙方的货款，并向甲方支付合同总价款百分之十的违约金。并保留追究乙方违约责任的权利。</w:t>
      </w:r>
    </w:p>
    <w:p w14:paraId="1AA6F6AB"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3、乙方交货或甲方付款时间迟延的，违约方按照每天1%向对方承担违约责任，延迟30天以上，甲方有权解除合同。产品质量问题违约的，除了按照迟延时间计算违约金外，另可以采取退货、换货等方式，由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highlight w:val="none"/>
        </w:rPr>
        <w:t>承担一切费用。</w:t>
      </w:r>
    </w:p>
    <w:p w14:paraId="595C4BBE">
      <w:pPr>
        <w:spacing w:line="440" w:lineRule="exact"/>
        <w:ind w:firstLine="532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十、产品验收</w:t>
      </w:r>
    </w:p>
    <w:p w14:paraId="57C6EEE9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 xml:space="preserve">1、验收由甲、乙双方相关人员组成的验收小组负责。 </w:t>
      </w:r>
    </w:p>
    <w:p w14:paraId="3240EF5C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2、提供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制造商</w:t>
      </w:r>
      <w:r>
        <w:rPr>
          <w:rFonts w:hint="eastAsia" w:ascii="宋体" w:hAnsi="宋体" w:eastAsia="宋体" w:cs="宋体"/>
          <w:color w:val="auto"/>
          <w:highlight w:val="none"/>
        </w:rPr>
        <w:t>的检验测试报告或产品出厂检测报告。</w:t>
      </w:r>
    </w:p>
    <w:p w14:paraId="78F32588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highlight w:val="none"/>
        </w:rPr>
        <w:t>甲方根据合同要求对产品进行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到货</w:t>
      </w:r>
      <w:r>
        <w:rPr>
          <w:rFonts w:hint="eastAsia" w:ascii="宋体" w:hAnsi="宋体" w:eastAsia="宋体" w:cs="宋体"/>
          <w:color w:val="auto"/>
          <w:highlight w:val="none"/>
        </w:rPr>
        <w:t>验收、确认产品的产地、规格、型号和数量。验收依据为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已签订的</w:t>
      </w:r>
      <w:r>
        <w:rPr>
          <w:rFonts w:hint="eastAsia" w:ascii="宋体" w:hAnsi="宋体" w:eastAsia="宋体" w:cs="宋体"/>
          <w:color w:val="auto"/>
          <w:highlight w:val="none"/>
        </w:rPr>
        <w:t>合同文本、投标文件和国内相应的标准、规范。</w:t>
      </w:r>
    </w:p>
    <w:p w14:paraId="3F3FF863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highlight w:val="none"/>
        </w:rPr>
        <w:t>、验收合格后，填写产品验收单，并向甲方提交产品所包含的所有资料，以便使用单位日后管理和维护。</w:t>
      </w:r>
    </w:p>
    <w:p w14:paraId="08783B55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highlight w:val="none"/>
        </w:rPr>
        <w:t>、在交割以前产品所发生的一切损失及费用由乙方承担。性能达到技术要求的，验收通过；验收不合格的，限期整改。</w:t>
      </w:r>
    </w:p>
    <w:p w14:paraId="4B90F80D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highlight w:val="none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 w14:paraId="31567789">
      <w:pPr>
        <w:tabs>
          <w:tab w:val="left" w:pos="5355"/>
        </w:tabs>
        <w:spacing w:line="440" w:lineRule="exact"/>
        <w:ind w:firstLine="48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十一、合同争议的解决</w:t>
      </w:r>
    </w:p>
    <w:p w14:paraId="6A9C028C">
      <w:pPr>
        <w:tabs>
          <w:tab w:val="left" w:pos="5355"/>
        </w:tabs>
        <w:spacing w:line="440" w:lineRule="exact"/>
        <w:ind w:firstLine="480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</w:rPr>
        <w:t>合同一经签订，不得随意变更、中止或终止。对确需变更、调整或者中止、终止合同的，应按规定履行相应的手续。</w:t>
      </w:r>
    </w:p>
    <w:p w14:paraId="6E6FAD11">
      <w:pPr>
        <w:tabs>
          <w:tab w:val="left" w:pos="5355"/>
        </w:tabs>
        <w:spacing w:line="440" w:lineRule="exact"/>
        <w:ind w:firstLine="48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合同执行中发生争议的，甲、乙双方应协商解决，协商达不成一致时，可向甲方所在地人民法院提起诉讼。</w:t>
      </w:r>
    </w:p>
    <w:p w14:paraId="6C89F554">
      <w:pPr>
        <w:tabs>
          <w:tab w:val="left" w:pos="5355"/>
        </w:tabs>
        <w:spacing w:line="440" w:lineRule="exact"/>
        <w:ind w:firstLine="482" w:firstLineChars="20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十二、其它事项</w:t>
      </w:r>
    </w:p>
    <w:p w14:paraId="20327B5C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1、甲、乙双方做为合同执行的主体，有义务及时完全履行合同。</w:t>
      </w:r>
    </w:p>
    <w:p w14:paraId="7A3EFC27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2、甲方使用部门代表签署合同，并随时监督合同履行情况。</w:t>
      </w:r>
    </w:p>
    <w:p w14:paraId="4A179A52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3、合同未尽事宜，由甲、乙双方协商，协商方案作为本合同不可分割的组成部分，与本合同具有同等法律效力。</w:t>
      </w:r>
    </w:p>
    <w:p w14:paraId="57E1D12D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4、招标文件和乙方的投标文件以及合同附件均为合同不可分割的部分。</w:t>
      </w:r>
    </w:p>
    <w:p w14:paraId="0BAB9CB2">
      <w:pPr>
        <w:adjustRightInd w:val="0"/>
        <w:snapToGrid w:val="0"/>
        <w:spacing w:line="440" w:lineRule="exact"/>
        <w:ind w:firstLine="600" w:firstLineChars="25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5、合同一式陆份，甲方持肆份、乙方执壹份，招标代理机构壹份。双方签字盖章后生效，合同执行完毕自动失效。（合同的服务承诺长期有效）。</w:t>
      </w:r>
    </w:p>
    <w:p w14:paraId="3C091746">
      <w:pPr>
        <w:adjustRightInd w:val="0"/>
        <w:snapToGrid w:val="0"/>
        <w:spacing w:line="440" w:lineRule="exact"/>
        <w:ind w:firstLine="600" w:firstLine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6、使用单位收货、验货人员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：电话：_______________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　</w:t>
      </w:r>
    </w:p>
    <w:p w14:paraId="70A83F2B">
      <w:pPr>
        <w:pStyle w:val="2"/>
        <w:rPr>
          <w:rFonts w:hint="eastAsia" w:ascii="宋体" w:hAnsi="宋体" w:eastAsia="宋体" w:cs="宋体"/>
        </w:rPr>
      </w:pPr>
    </w:p>
    <w:p w14:paraId="0D36387C">
      <w:pPr>
        <w:pStyle w:val="2"/>
        <w:rPr>
          <w:rFonts w:hint="eastAsia" w:ascii="宋体" w:hAnsi="宋体" w:eastAsia="宋体" w:cs="宋体"/>
        </w:rPr>
      </w:pPr>
    </w:p>
    <w:p w14:paraId="6CC4AC26">
      <w:pPr>
        <w:pStyle w:val="2"/>
        <w:ind w:left="0" w:leftChars="0" w:firstLine="0" w:firstLineChars="0"/>
        <w:rPr>
          <w:rFonts w:hint="eastAsia" w:ascii="宋体" w:hAnsi="宋体" w:eastAsia="宋体" w:cs="宋体"/>
        </w:rPr>
      </w:pPr>
    </w:p>
    <w:tbl>
      <w:tblPr>
        <w:tblStyle w:val="5"/>
        <w:tblpPr w:leftFromText="180" w:rightFromText="180" w:vertAnchor="text" w:horzAnchor="page" w:tblpXSpec="center" w:tblpY="147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1"/>
        <w:gridCol w:w="4463"/>
      </w:tblGrid>
      <w:tr w14:paraId="6F7C3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74F8F6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甲方（买方）：</w:t>
            </w:r>
          </w:p>
        </w:tc>
        <w:tc>
          <w:tcPr>
            <w:tcW w:w="2590" w:type="pct"/>
            <w:noWrap/>
            <w:vAlign w:val="center"/>
          </w:tcPr>
          <w:p w14:paraId="276C33F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乙方（卖方）：</w:t>
            </w:r>
          </w:p>
        </w:tc>
      </w:tr>
      <w:tr w14:paraId="571E4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0CE15292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  <w:tc>
          <w:tcPr>
            <w:tcW w:w="2590" w:type="pct"/>
            <w:noWrap/>
            <w:vAlign w:val="center"/>
          </w:tcPr>
          <w:p w14:paraId="77B6F418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　址：</w:t>
            </w:r>
          </w:p>
        </w:tc>
      </w:tr>
      <w:tr w14:paraId="2190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16F371AB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授权代理人：　</w:t>
            </w:r>
          </w:p>
        </w:tc>
        <w:tc>
          <w:tcPr>
            <w:tcW w:w="2590" w:type="pct"/>
            <w:noWrap/>
            <w:vAlign w:val="center"/>
          </w:tcPr>
          <w:p w14:paraId="7ED230F7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授权代理人</w:t>
            </w:r>
          </w:p>
        </w:tc>
      </w:tr>
      <w:tr w14:paraId="714CA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4F66A37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  <w:tc>
          <w:tcPr>
            <w:tcW w:w="2590" w:type="pct"/>
            <w:noWrap/>
            <w:vAlign w:val="center"/>
          </w:tcPr>
          <w:p w14:paraId="6772E9A0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联系电话：</w:t>
            </w:r>
          </w:p>
        </w:tc>
      </w:tr>
      <w:tr w14:paraId="39938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3A101347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  <w:tc>
          <w:tcPr>
            <w:tcW w:w="2590" w:type="pct"/>
            <w:noWrap/>
            <w:vAlign w:val="center"/>
          </w:tcPr>
          <w:p w14:paraId="4EF998D7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开户行：</w:t>
            </w:r>
          </w:p>
        </w:tc>
      </w:tr>
      <w:tr w14:paraId="72D74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09F88C0E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  <w:tc>
          <w:tcPr>
            <w:tcW w:w="2590" w:type="pct"/>
            <w:noWrap/>
            <w:vAlign w:val="center"/>
          </w:tcPr>
          <w:p w14:paraId="3CE3B630">
            <w:pPr>
              <w:tabs>
                <w:tab w:val="left" w:pos="5355"/>
              </w:tabs>
              <w:spacing w:line="50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</w:tr>
      <w:tr w14:paraId="39B1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09" w:type="pct"/>
            <w:noWrap/>
            <w:vAlign w:val="center"/>
          </w:tcPr>
          <w:p w14:paraId="5D3FD250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 日</w:t>
            </w:r>
          </w:p>
        </w:tc>
        <w:tc>
          <w:tcPr>
            <w:tcW w:w="2590" w:type="pct"/>
            <w:noWrap/>
            <w:vAlign w:val="center"/>
          </w:tcPr>
          <w:p w14:paraId="7C2FB75C">
            <w:pPr>
              <w:spacing w:line="348" w:lineRule="auto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日期：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</w:rPr>
              <w:t>年  月  日</w:t>
            </w:r>
          </w:p>
        </w:tc>
      </w:tr>
    </w:tbl>
    <w:p w14:paraId="6C1CC876">
      <w:pPr>
        <w:snapToGrid w:val="0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6694F05A">
      <w:pPr>
        <w:snapToGrid w:val="0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0BE3D2F9"/>
    <w:p w14:paraId="2DA13519"/>
    <w:sectPr>
      <w:footerReference r:id="rId5" w:type="default"/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4597363"/>
      <w:docPartObj>
        <w:docPartGallery w:val="autotext"/>
      </w:docPartObj>
    </w:sdtPr>
    <w:sdtContent>
      <w:p w14:paraId="5F2D6F66"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699A9A49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E1EE8"/>
    <w:rsid w:val="11355DDC"/>
    <w:rsid w:val="136C6BDF"/>
    <w:rsid w:val="161C0D90"/>
    <w:rsid w:val="1FFA39CC"/>
    <w:rsid w:val="216F6ECA"/>
    <w:rsid w:val="217D030F"/>
    <w:rsid w:val="23FA3D93"/>
    <w:rsid w:val="27360885"/>
    <w:rsid w:val="294200C7"/>
    <w:rsid w:val="2EF01665"/>
    <w:rsid w:val="2F740E9D"/>
    <w:rsid w:val="2FB1116B"/>
    <w:rsid w:val="31D367ED"/>
    <w:rsid w:val="32562ADC"/>
    <w:rsid w:val="345160B9"/>
    <w:rsid w:val="449000D0"/>
    <w:rsid w:val="4DF23BA9"/>
    <w:rsid w:val="4E241889"/>
    <w:rsid w:val="507A1A0D"/>
    <w:rsid w:val="54EE750F"/>
    <w:rsid w:val="580C1522"/>
    <w:rsid w:val="59C36E2A"/>
    <w:rsid w:val="5A3B32E9"/>
    <w:rsid w:val="5A667ADA"/>
    <w:rsid w:val="5BCF1086"/>
    <w:rsid w:val="60123380"/>
    <w:rsid w:val="618535EF"/>
    <w:rsid w:val="647E189B"/>
    <w:rsid w:val="7156797C"/>
    <w:rsid w:val="73B76D42"/>
    <w:rsid w:val="78044C6A"/>
    <w:rsid w:val="7B9E7C41"/>
    <w:rsid w:val="7D1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7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9">
    <w:name w:val="font41"/>
    <w:basedOn w:val="6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10">
    <w:name w:val="font51"/>
    <w:basedOn w:val="6"/>
    <w:autoRedefine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2342</Words>
  <Characters>2377</Characters>
  <Lines>0</Lines>
  <Paragraphs>0</Paragraphs>
  <TotalTime>8</TotalTime>
  <ScaleCrop>false</ScaleCrop>
  <LinksUpToDate>false</LinksUpToDate>
  <CharactersWithSpaces>2609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2024-11-22T09:09:00Z</dcterms:created>
  <dc:creator>lenovo</dc:creator>
  <cp:lastModifiedBy>朱娟</cp:lastModifiedBy>
  <dcterms:modified xsi:type="dcterms:W3CDTF">2025-05-29T12:44:42Z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6EF4F72EB6074DBC83B92A3613C0FB27_13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