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416A3">
      <w:pPr>
        <w:spacing w:before="229" w:line="219" w:lineRule="auto"/>
        <w:ind w:left="13"/>
        <w:rPr>
          <w:rFonts w:ascii="宋体" w:hAnsi="宋体" w:eastAsia="宋体" w:cs="宋体"/>
          <w:sz w:val="25"/>
          <w:szCs w:val="25"/>
        </w:rPr>
      </w:pPr>
      <w:r>
        <w:rPr>
          <w:rFonts w:ascii="宋体" w:hAnsi="宋体" w:eastAsia="宋体" w:cs="宋体"/>
          <w:spacing w:val="-10"/>
          <w:sz w:val="25"/>
          <w:szCs w:val="25"/>
        </w:rPr>
        <w:t>合同编号：</w:t>
      </w:r>
    </w:p>
    <w:p w14:paraId="3197C628">
      <w:pPr>
        <w:pStyle w:val="3"/>
        <w:spacing w:line="288" w:lineRule="auto"/>
      </w:pPr>
    </w:p>
    <w:p w14:paraId="3C72DD63">
      <w:pPr>
        <w:pStyle w:val="3"/>
        <w:spacing w:line="288" w:lineRule="auto"/>
      </w:pPr>
    </w:p>
    <w:p w14:paraId="168853F8">
      <w:pPr>
        <w:pStyle w:val="3"/>
        <w:spacing w:line="289" w:lineRule="auto"/>
        <w:rPr>
          <w:highlight w:val="none"/>
        </w:rPr>
      </w:pPr>
    </w:p>
    <w:p w14:paraId="6639934F">
      <w:pPr>
        <w:spacing w:line="219" w:lineRule="auto"/>
        <w:ind w:left="2011" w:firstLine="3780" w:firstLineChars="700"/>
        <w:rPr>
          <w:rFonts w:hint="default" w:ascii="宋体" w:hAnsi="宋体" w:eastAsia="宋体" w:cs="宋体"/>
          <w:sz w:val="54"/>
          <w:szCs w:val="54"/>
          <w:highlight w:val="none"/>
          <w:lang w:val="en-US" w:eastAsia="zh-CN"/>
        </w:rPr>
      </w:pPr>
      <w:r>
        <w:rPr>
          <w:rFonts w:hint="eastAsia" w:ascii="宋体" w:hAnsi="宋体" w:eastAsia="宋体" w:cs="宋体"/>
          <w:sz w:val="54"/>
          <w:szCs w:val="54"/>
          <w:highlight w:val="none"/>
          <w:lang w:val="en-US" w:eastAsia="zh-CN"/>
        </w:rPr>
        <w:t>项目</w:t>
      </w:r>
    </w:p>
    <w:p w14:paraId="7BC213D7">
      <w:pPr>
        <w:pStyle w:val="3"/>
        <w:spacing w:line="258" w:lineRule="auto"/>
        <w:rPr>
          <w:highlight w:val="none"/>
        </w:rPr>
      </w:pPr>
    </w:p>
    <w:p w14:paraId="582CEFCC">
      <w:pPr>
        <w:pStyle w:val="3"/>
        <w:spacing w:line="258" w:lineRule="auto"/>
        <w:rPr>
          <w:highlight w:val="none"/>
        </w:rPr>
      </w:pPr>
    </w:p>
    <w:p w14:paraId="2077597F">
      <w:pPr>
        <w:pStyle w:val="3"/>
        <w:spacing w:line="258" w:lineRule="auto"/>
        <w:rPr>
          <w:highlight w:val="none"/>
        </w:rPr>
      </w:pPr>
    </w:p>
    <w:p w14:paraId="55EE3970">
      <w:pPr>
        <w:pStyle w:val="3"/>
        <w:spacing w:line="258" w:lineRule="auto"/>
        <w:rPr>
          <w:highlight w:val="none"/>
        </w:rPr>
      </w:pPr>
    </w:p>
    <w:p w14:paraId="7352E47C">
      <w:pPr>
        <w:spacing w:before="247" w:line="221" w:lineRule="auto"/>
        <w:ind w:left="3194"/>
        <w:outlineLvl w:val="0"/>
        <w:rPr>
          <w:rFonts w:ascii="宋体" w:hAnsi="宋体" w:eastAsia="宋体" w:cs="宋体"/>
          <w:sz w:val="76"/>
          <w:szCs w:val="76"/>
          <w:highlight w:val="none"/>
        </w:rPr>
      </w:pPr>
      <w:r>
        <w:rPr>
          <w:rFonts w:ascii="宋体" w:hAnsi="宋体" w:eastAsia="宋体" w:cs="宋体"/>
          <w:b/>
          <w:bCs/>
          <w:spacing w:val="-25"/>
          <w:sz w:val="76"/>
          <w:szCs w:val="76"/>
          <w:highlight w:val="none"/>
        </w:rPr>
        <w:t>合</w:t>
      </w:r>
      <w:r>
        <w:rPr>
          <w:rFonts w:ascii="宋体" w:hAnsi="宋体" w:eastAsia="宋体" w:cs="宋体"/>
          <w:spacing w:val="263"/>
          <w:sz w:val="76"/>
          <w:szCs w:val="76"/>
          <w:highlight w:val="none"/>
        </w:rPr>
        <w:t xml:space="preserve"> </w:t>
      </w:r>
      <w:r>
        <w:rPr>
          <w:rFonts w:ascii="宋体" w:hAnsi="宋体" w:eastAsia="宋体" w:cs="宋体"/>
          <w:b/>
          <w:bCs/>
          <w:spacing w:val="-25"/>
          <w:sz w:val="76"/>
          <w:szCs w:val="76"/>
          <w:highlight w:val="none"/>
        </w:rPr>
        <w:t>同</w:t>
      </w:r>
    </w:p>
    <w:p w14:paraId="5158CACD">
      <w:pPr>
        <w:pStyle w:val="3"/>
        <w:spacing w:line="241" w:lineRule="auto"/>
        <w:rPr>
          <w:highlight w:val="none"/>
        </w:rPr>
      </w:pPr>
    </w:p>
    <w:p w14:paraId="702EDBFB">
      <w:pPr>
        <w:pStyle w:val="3"/>
        <w:spacing w:line="241" w:lineRule="auto"/>
        <w:rPr>
          <w:highlight w:val="none"/>
        </w:rPr>
      </w:pPr>
    </w:p>
    <w:p w14:paraId="6B25C41F">
      <w:pPr>
        <w:pStyle w:val="3"/>
        <w:spacing w:line="241" w:lineRule="auto"/>
        <w:rPr>
          <w:highlight w:val="none"/>
        </w:rPr>
      </w:pPr>
    </w:p>
    <w:p w14:paraId="7724802E">
      <w:pPr>
        <w:pStyle w:val="3"/>
        <w:spacing w:line="241" w:lineRule="auto"/>
        <w:rPr>
          <w:highlight w:val="none"/>
        </w:rPr>
      </w:pPr>
    </w:p>
    <w:p w14:paraId="7E0F6106">
      <w:pPr>
        <w:pStyle w:val="3"/>
        <w:spacing w:line="241" w:lineRule="auto"/>
        <w:rPr>
          <w:highlight w:val="none"/>
        </w:rPr>
      </w:pPr>
    </w:p>
    <w:p w14:paraId="58AF7630">
      <w:pPr>
        <w:pStyle w:val="3"/>
        <w:spacing w:line="242" w:lineRule="auto"/>
        <w:rPr>
          <w:highlight w:val="none"/>
        </w:rPr>
      </w:pPr>
    </w:p>
    <w:p w14:paraId="4DDE5939">
      <w:pPr>
        <w:pStyle w:val="3"/>
        <w:spacing w:line="242" w:lineRule="auto"/>
        <w:rPr>
          <w:highlight w:val="none"/>
        </w:rPr>
      </w:pPr>
    </w:p>
    <w:p w14:paraId="47D2E1A6">
      <w:pPr>
        <w:pStyle w:val="3"/>
        <w:spacing w:line="242" w:lineRule="auto"/>
        <w:rPr>
          <w:highlight w:val="none"/>
        </w:rPr>
      </w:pPr>
    </w:p>
    <w:p w14:paraId="5C312BA6">
      <w:pPr>
        <w:pStyle w:val="3"/>
        <w:spacing w:line="242" w:lineRule="auto"/>
        <w:rPr>
          <w:highlight w:val="none"/>
        </w:rPr>
      </w:pPr>
    </w:p>
    <w:p w14:paraId="44BC628E">
      <w:pPr>
        <w:pStyle w:val="3"/>
        <w:spacing w:line="242" w:lineRule="auto"/>
        <w:rPr>
          <w:highlight w:val="none"/>
        </w:rPr>
      </w:pPr>
    </w:p>
    <w:p w14:paraId="1DA31CD2">
      <w:pPr>
        <w:pStyle w:val="3"/>
        <w:spacing w:line="242" w:lineRule="auto"/>
        <w:rPr>
          <w:highlight w:val="none"/>
        </w:rPr>
      </w:pPr>
    </w:p>
    <w:p w14:paraId="219CB42D">
      <w:pPr>
        <w:pStyle w:val="3"/>
        <w:spacing w:line="242" w:lineRule="auto"/>
        <w:rPr>
          <w:highlight w:val="none"/>
        </w:rPr>
      </w:pPr>
    </w:p>
    <w:p w14:paraId="67035850">
      <w:pPr>
        <w:pStyle w:val="3"/>
        <w:spacing w:line="242" w:lineRule="auto"/>
        <w:rPr>
          <w:highlight w:val="none"/>
        </w:rPr>
      </w:pPr>
    </w:p>
    <w:p w14:paraId="05CBBFDD">
      <w:pPr>
        <w:pStyle w:val="3"/>
        <w:spacing w:line="242" w:lineRule="auto"/>
        <w:rPr>
          <w:highlight w:val="none"/>
        </w:rPr>
      </w:pPr>
    </w:p>
    <w:p w14:paraId="054BBA43">
      <w:pPr>
        <w:spacing w:before="98" w:line="219" w:lineRule="auto"/>
        <w:ind w:left="1363"/>
        <w:rPr>
          <w:rFonts w:ascii="宋体" w:hAnsi="宋体" w:eastAsia="宋体" w:cs="宋体"/>
          <w:sz w:val="30"/>
          <w:szCs w:val="30"/>
          <w:highlight w:val="none"/>
        </w:rPr>
      </w:pPr>
      <w:r>
        <w:rPr>
          <w:rFonts w:ascii="宋体" w:hAnsi="宋体" w:eastAsia="宋体" w:cs="宋体"/>
          <w:spacing w:val="-9"/>
          <w:sz w:val="30"/>
          <w:szCs w:val="30"/>
          <w:highlight w:val="none"/>
        </w:rPr>
        <w:t>项目编号：</w:t>
      </w:r>
    </w:p>
    <w:p w14:paraId="2A1563F1">
      <w:pPr>
        <w:spacing w:before="244" w:line="219" w:lineRule="auto"/>
        <w:ind w:left="1363"/>
        <w:rPr>
          <w:rFonts w:ascii="宋体" w:hAnsi="宋体" w:eastAsia="宋体" w:cs="宋体"/>
          <w:sz w:val="30"/>
          <w:szCs w:val="30"/>
          <w:highlight w:val="none"/>
        </w:rPr>
      </w:pPr>
      <w:r>
        <w:rPr>
          <w:rFonts w:ascii="宋体" w:hAnsi="宋体" w:eastAsia="宋体" w:cs="宋体"/>
          <w:spacing w:val="14"/>
          <w:sz w:val="30"/>
          <w:szCs w:val="30"/>
          <w:highlight w:val="none"/>
        </w:rPr>
        <w:t>甲</w:t>
      </w:r>
      <w:r>
        <w:rPr>
          <w:rFonts w:ascii="宋体" w:hAnsi="宋体" w:eastAsia="宋体" w:cs="宋体"/>
          <w:spacing w:val="20"/>
          <w:sz w:val="30"/>
          <w:szCs w:val="30"/>
          <w:highlight w:val="none"/>
        </w:rPr>
        <w:t xml:space="preserve">    </w:t>
      </w:r>
      <w:r>
        <w:rPr>
          <w:rFonts w:ascii="宋体" w:hAnsi="宋体" w:eastAsia="宋体" w:cs="宋体"/>
          <w:spacing w:val="14"/>
          <w:sz w:val="30"/>
          <w:szCs w:val="30"/>
          <w:highlight w:val="none"/>
        </w:rPr>
        <w:t>方：</w:t>
      </w:r>
      <w:r>
        <w:rPr>
          <w:rFonts w:hint="eastAsia" w:ascii="宋体" w:hAnsi="宋体" w:eastAsia="宋体" w:cs="宋体"/>
          <w:spacing w:val="14"/>
          <w:sz w:val="30"/>
          <w:szCs w:val="30"/>
          <w:highlight w:val="none"/>
        </w:rPr>
        <w:t>陕西省人民检察院西安铁路运输分院</w:t>
      </w:r>
    </w:p>
    <w:p w14:paraId="7917F50E">
      <w:pPr>
        <w:spacing w:before="243" w:line="219" w:lineRule="auto"/>
        <w:ind w:left="1363"/>
        <w:rPr>
          <w:rFonts w:ascii="宋体" w:hAnsi="宋体" w:eastAsia="宋体" w:cs="宋体"/>
          <w:sz w:val="30"/>
          <w:szCs w:val="30"/>
          <w:highlight w:val="none"/>
        </w:rPr>
      </w:pPr>
      <w:r>
        <w:rPr>
          <w:rFonts w:ascii="宋体" w:hAnsi="宋体" w:eastAsia="宋体" w:cs="宋体"/>
          <w:spacing w:val="17"/>
          <w:sz w:val="30"/>
          <w:szCs w:val="30"/>
          <w:highlight w:val="none"/>
        </w:rPr>
        <w:t>乙    方：</w:t>
      </w:r>
    </w:p>
    <w:p w14:paraId="2106A78E">
      <w:pPr>
        <w:pStyle w:val="3"/>
        <w:spacing w:line="241" w:lineRule="auto"/>
        <w:rPr>
          <w:highlight w:val="none"/>
        </w:rPr>
      </w:pPr>
    </w:p>
    <w:p w14:paraId="3E38665C">
      <w:pPr>
        <w:pStyle w:val="3"/>
        <w:spacing w:line="241" w:lineRule="auto"/>
        <w:rPr>
          <w:highlight w:val="none"/>
        </w:rPr>
      </w:pPr>
    </w:p>
    <w:p w14:paraId="76C778E3">
      <w:pPr>
        <w:pStyle w:val="3"/>
        <w:spacing w:line="241" w:lineRule="auto"/>
        <w:rPr>
          <w:highlight w:val="none"/>
        </w:rPr>
      </w:pPr>
    </w:p>
    <w:p w14:paraId="207A04DE">
      <w:pPr>
        <w:pStyle w:val="3"/>
        <w:spacing w:line="242" w:lineRule="auto"/>
        <w:rPr>
          <w:highlight w:val="none"/>
        </w:rPr>
      </w:pPr>
    </w:p>
    <w:p w14:paraId="59B32C6C">
      <w:pPr>
        <w:pStyle w:val="3"/>
        <w:spacing w:line="242" w:lineRule="auto"/>
        <w:rPr>
          <w:highlight w:val="none"/>
        </w:rPr>
      </w:pPr>
    </w:p>
    <w:p w14:paraId="74866AD1">
      <w:pPr>
        <w:pStyle w:val="3"/>
        <w:spacing w:line="242" w:lineRule="auto"/>
        <w:rPr>
          <w:highlight w:val="none"/>
        </w:rPr>
      </w:pPr>
    </w:p>
    <w:p w14:paraId="173A3A90">
      <w:pPr>
        <w:spacing w:before="98" w:line="219" w:lineRule="auto"/>
        <w:ind w:left="3453"/>
        <w:rPr>
          <w:rFonts w:ascii="宋体" w:hAnsi="宋体" w:eastAsia="宋体" w:cs="宋体"/>
          <w:sz w:val="30"/>
          <w:szCs w:val="30"/>
          <w:highlight w:val="none"/>
        </w:rPr>
      </w:pPr>
      <w:r>
        <w:rPr>
          <w:rFonts w:ascii="宋体" w:hAnsi="宋体" w:eastAsia="宋体" w:cs="宋体"/>
          <w:spacing w:val="15"/>
          <w:sz w:val="30"/>
          <w:szCs w:val="30"/>
          <w:highlight w:val="none"/>
        </w:rPr>
        <w:t>陕西·西安</w:t>
      </w:r>
    </w:p>
    <w:p w14:paraId="49A4973F">
      <w:pPr>
        <w:jc w:val="center"/>
        <w:rPr>
          <w:rFonts w:ascii="宋体" w:hAnsi="宋体" w:eastAsia="宋体" w:cs="宋体"/>
          <w:spacing w:val="0"/>
          <w:sz w:val="36"/>
          <w:szCs w:val="36"/>
          <w:highlight w:val="none"/>
        </w:rPr>
      </w:pPr>
      <w:r>
        <w:rPr>
          <w:rFonts w:ascii="宋体" w:hAnsi="宋体" w:eastAsia="宋体" w:cs="宋体"/>
          <w:spacing w:val="0"/>
          <w:sz w:val="36"/>
          <w:szCs w:val="36"/>
          <w:highlight w:val="none"/>
        </w:rPr>
        <w:t>二零二</w:t>
      </w:r>
      <w:r>
        <w:rPr>
          <w:rFonts w:hint="eastAsia" w:ascii="宋体" w:hAnsi="宋体" w:eastAsia="宋体" w:cs="宋体"/>
          <w:spacing w:val="0"/>
          <w:sz w:val="36"/>
          <w:szCs w:val="36"/>
          <w:highlight w:val="none"/>
          <w:lang w:val="en-US" w:eastAsia="zh-CN"/>
        </w:rPr>
        <w:t>五</w:t>
      </w:r>
      <w:r>
        <w:rPr>
          <w:rFonts w:ascii="宋体" w:hAnsi="宋体" w:eastAsia="宋体" w:cs="宋体"/>
          <w:spacing w:val="0"/>
          <w:sz w:val="36"/>
          <w:szCs w:val="36"/>
          <w:highlight w:val="none"/>
        </w:rPr>
        <w:t>年 月  日</w:t>
      </w:r>
    </w:p>
    <w:p w14:paraId="649A2A59">
      <w:pPr>
        <w:rPr>
          <w:rFonts w:ascii="宋体" w:hAnsi="宋体" w:eastAsia="宋体" w:cs="宋体"/>
          <w:spacing w:val="0"/>
          <w:sz w:val="36"/>
          <w:szCs w:val="36"/>
          <w:highlight w:val="none"/>
        </w:rPr>
      </w:pPr>
      <w:r>
        <w:rPr>
          <w:rFonts w:ascii="宋体" w:hAnsi="宋体" w:eastAsia="宋体" w:cs="宋体"/>
          <w:spacing w:val="0"/>
          <w:sz w:val="36"/>
          <w:szCs w:val="36"/>
          <w:highlight w:val="none"/>
        </w:rPr>
        <w:br w:type="page"/>
      </w:r>
    </w:p>
    <w:p w14:paraId="5632FD7B">
      <w:pPr>
        <w:spacing w:before="245" w:line="219" w:lineRule="auto"/>
        <w:ind w:left="503"/>
        <w:rPr>
          <w:rFonts w:hint="eastAsia" w:ascii="宋体" w:hAnsi="宋体" w:eastAsia="宋体" w:cs="宋体"/>
          <w:sz w:val="24"/>
          <w:szCs w:val="24"/>
          <w:highlight w:val="none"/>
          <w:lang w:eastAsia="zh-CN"/>
        </w:rPr>
      </w:pPr>
      <w:r>
        <w:rPr>
          <w:rFonts w:ascii="宋体" w:hAnsi="宋体" w:eastAsia="宋体" w:cs="宋体"/>
          <w:b/>
          <w:bCs/>
          <w:spacing w:val="-8"/>
          <w:sz w:val="24"/>
          <w:szCs w:val="24"/>
          <w:highlight w:val="none"/>
        </w:rPr>
        <w:t>甲方：</w:t>
      </w:r>
      <w:r>
        <w:rPr>
          <w:rFonts w:hint="eastAsia" w:ascii="宋体" w:hAnsi="宋体" w:eastAsia="宋体" w:cs="宋体"/>
          <w:b/>
          <w:bCs/>
          <w:spacing w:val="-8"/>
          <w:sz w:val="24"/>
          <w:szCs w:val="24"/>
          <w:highlight w:val="none"/>
          <w:lang w:eastAsia="zh-CN"/>
        </w:rPr>
        <w:t>陕西省人民检察院西安铁路运输分院</w:t>
      </w:r>
    </w:p>
    <w:p w14:paraId="3B1DA2FD">
      <w:pPr>
        <w:spacing w:before="193" w:line="219" w:lineRule="auto"/>
        <w:ind w:left="503"/>
        <w:rPr>
          <w:rFonts w:ascii="宋体" w:hAnsi="宋体" w:eastAsia="宋体" w:cs="宋体"/>
          <w:sz w:val="24"/>
          <w:szCs w:val="24"/>
          <w:highlight w:val="none"/>
        </w:rPr>
      </w:pPr>
      <w:r>
        <w:rPr>
          <w:rFonts w:ascii="宋体" w:hAnsi="宋体" w:eastAsia="宋体" w:cs="宋体"/>
          <w:b/>
          <w:bCs/>
          <w:spacing w:val="-5"/>
          <w:sz w:val="24"/>
          <w:szCs w:val="24"/>
          <w:highlight w:val="none"/>
        </w:rPr>
        <w:t>乙方：</w:t>
      </w:r>
    </w:p>
    <w:p w14:paraId="54DD3A15">
      <w:pPr>
        <w:pStyle w:val="3"/>
        <w:spacing w:line="267" w:lineRule="auto"/>
        <w:rPr>
          <w:highlight w:val="none"/>
        </w:rPr>
      </w:pPr>
    </w:p>
    <w:p w14:paraId="228931D1">
      <w:pPr>
        <w:pStyle w:val="3"/>
        <w:spacing w:line="268" w:lineRule="auto"/>
        <w:rPr>
          <w:highlight w:val="none"/>
        </w:rPr>
      </w:pPr>
    </w:p>
    <w:p w14:paraId="47CD403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w:t>
      </w:r>
      <w:r>
        <w:rPr>
          <w:rFonts w:hint="eastAsia" w:ascii="宋体" w:hAnsi="宋体" w:eastAsia="宋体" w:cs="宋体"/>
          <w:spacing w:val="0"/>
          <w:w w:val="100"/>
          <w:sz w:val="24"/>
          <w:szCs w:val="24"/>
          <w:highlight w:val="none"/>
          <w:lang w:val="en-US" w:eastAsia="zh-CN"/>
        </w:rPr>
        <w:t>5</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w:t>
      </w:r>
      <w:r>
        <w:rPr>
          <w:rFonts w:hint="eastAsia" w:ascii="宋体" w:hAnsi="宋体" w:eastAsia="宋体" w:cs="宋体"/>
          <w:spacing w:val="0"/>
          <w:w w:val="100"/>
          <w:sz w:val="24"/>
          <w:szCs w:val="24"/>
          <w:highlight w:val="none"/>
          <w:lang w:val="en-US" w:eastAsia="zh-CN"/>
        </w:rPr>
        <w:t>陕西省人民检察院西安铁路运输分院</w:t>
      </w:r>
      <w:r>
        <w:rPr>
          <w:rFonts w:hint="default" w:ascii="宋体" w:hAnsi="宋体" w:eastAsia="宋体" w:cs="宋体"/>
          <w:spacing w:val="0"/>
          <w:w w:val="100"/>
          <w:sz w:val="24"/>
          <w:szCs w:val="24"/>
          <w:highlight w:val="none"/>
          <w:lang w:val="en-US" w:eastAsia="zh-CN"/>
        </w:rPr>
        <w:t>)(以下简称“甲方”)以公开招标方式对“(</w:t>
      </w:r>
      <w:r>
        <w:rPr>
          <w:rFonts w:hint="eastAsia" w:ascii="宋体" w:hAnsi="宋体" w:eastAsia="宋体" w:cs="宋体"/>
          <w:spacing w:val="0"/>
          <w:w w:val="100"/>
          <w:sz w:val="24"/>
          <w:szCs w:val="24"/>
          <w:highlight w:val="none"/>
          <w:u w:val="single"/>
          <w:lang w:val="en-US" w:eastAsia="zh-CN"/>
        </w:rPr>
        <w:t>项目名称</w:t>
      </w:r>
      <w:r>
        <w:rPr>
          <w:rFonts w:hint="default" w:ascii="宋体" w:hAnsi="宋体" w:eastAsia="宋体" w:cs="宋体"/>
          <w:spacing w:val="0"/>
          <w:w w:val="100"/>
          <w:sz w:val="24"/>
          <w:szCs w:val="24"/>
          <w:highlight w:val="none"/>
          <w:lang w:val="en-US" w:eastAsia="zh-CN"/>
        </w:rPr>
        <w:t>)”(项目编号：</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)进行了招标。经评标委员会评定，</w:t>
      </w:r>
      <w:r>
        <w:rPr>
          <w:rFonts w:hint="default" w:ascii="宋体" w:hAnsi="宋体" w:eastAsia="宋体" w:cs="宋体"/>
          <w:spacing w:val="0"/>
          <w:w w:val="100"/>
          <w:sz w:val="24"/>
          <w:szCs w:val="24"/>
          <w:highlight w:val="none"/>
          <w:u w:val="single"/>
          <w:lang w:val="en-US" w:eastAsia="zh-CN"/>
        </w:rPr>
        <w:t>(</w:t>
      </w:r>
      <w:r>
        <w:rPr>
          <w:rFonts w:hint="eastAsia" w:ascii="宋体" w:hAnsi="宋体" w:eastAsia="宋体" w:cs="宋体"/>
          <w:spacing w:val="0"/>
          <w:w w:val="100"/>
          <w:sz w:val="24"/>
          <w:szCs w:val="24"/>
          <w:highlight w:val="none"/>
          <w:u w:val="single"/>
          <w:lang w:val="en-US" w:eastAsia="zh-CN"/>
        </w:rPr>
        <w:t>中标供应商</w:t>
      </w:r>
      <w:r>
        <w:rPr>
          <w:rFonts w:hint="default" w:ascii="宋体" w:hAnsi="宋体" w:eastAsia="宋体" w:cs="宋体"/>
          <w:spacing w:val="0"/>
          <w:w w:val="100"/>
          <w:sz w:val="24"/>
          <w:szCs w:val="24"/>
          <w:highlight w:val="none"/>
          <w:u w:val="single"/>
          <w:lang w:val="en-US" w:eastAsia="zh-CN"/>
        </w:rPr>
        <w:t>)</w:t>
      </w:r>
      <w:r>
        <w:rPr>
          <w:rFonts w:hint="default" w:ascii="宋体" w:hAnsi="宋体" w:eastAsia="宋体" w:cs="宋体"/>
          <w:spacing w:val="0"/>
          <w:w w:val="100"/>
          <w:sz w:val="24"/>
          <w:szCs w:val="24"/>
          <w:highlight w:val="none"/>
          <w:lang w:val="en-US" w:eastAsia="zh-CN"/>
        </w:rPr>
        <w:t>(以下简称“乙方”)为 该项目中标供应商。现于中标通知书发出之日起三十日内，按照招标文件确定的事项签订本合同。</w:t>
      </w:r>
    </w:p>
    <w:p w14:paraId="1BD1362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根据《中华人民共和国民法典》、《中华人民共和国政府采购法》等相关法律法规之规定，按照平等、自愿、公平和诚实信用的原则，经甲方和乙方协商一致，约定以下合同条款，以兹共同遵守、全面履行。</w:t>
      </w:r>
    </w:p>
    <w:p w14:paraId="38579F1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一、合同构成</w:t>
      </w:r>
    </w:p>
    <w:p w14:paraId="014509F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1、本合同文本；</w:t>
      </w:r>
    </w:p>
    <w:p w14:paraId="14738F31">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2、本项目招标文本；</w:t>
      </w:r>
    </w:p>
    <w:p w14:paraId="4B015DE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3、乙方投标文档。</w:t>
      </w:r>
    </w:p>
    <w:p w14:paraId="46F9CA3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二、服务内容：</w:t>
      </w:r>
    </w:p>
    <w:p w14:paraId="2022CE7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0FF9E5A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三</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运维服务期：</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月</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日。</w:t>
      </w:r>
    </w:p>
    <w:p w14:paraId="28CED93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四、运维服务地点：</w:t>
      </w:r>
      <w:r>
        <w:rPr>
          <w:rFonts w:hint="default" w:ascii="宋体" w:hAnsi="宋体" w:eastAsia="宋体" w:cs="宋体"/>
          <w:spacing w:val="0"/>
          <w:w w:val="100"/>
          <w:sz w:val="24"/>
          <w:szCs w:val="24"/>
          <w:highlight w:val="none"/>
          <w:lang w:val="en-US" w:eastAsia="zh-CN"/>
        </w:rPr>
        <w:t>采购人指定地点。</w:t>
      </w:r>
    </w:p>
    <w:p w14:paraId="12E9CE0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五、本合同总价为：</w:t>
      </w:r>
      <w:r>
        <w:rPr>
          <w:rFonts w:hint="default" w:ascii="宋体" w:hAnsi="宋体" w:eastAsia="宋体" w:cs="宋体"/>
          <w:spacing w:val="0"/>
          <w:w w:val="100"/>
          <w:sz w:val="24"/>
          <w:szCs w:val="24"/>
          <w:highlight w:val="none"/>
          <w:lang w:val="en-US" w:eastAsia="zh-CN"/>
        </w:rPr>
        <w:t>人民币</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元整(¥</w:t>
      </w:r>
      <w:r>
        <w:rPr>
          <w:rFonts w:hint="eastAsia" w:ascii="宋体" w:hAnsi="宋体" w:eastAsia="宋体" w:cs="宋体"/>
          <w:spacing w:val="0"/>
          <w:w w:val="100"/>
          <w:sz w:val="24"/>
          <w:szCs w:val="24"/>
          <w:highlight w:val="none"/>
          <w:lang w:val="en-US" w:eastAsia="zh-CN"/>
        </w:rPr>
        <w:t xml:space="preserve">     </w:t>
      </w:r>
      <w:r>
        <w:rPr>
          <w:rFonts w:hint="default" w:ascii="宋体" w:hAnsi="宋体" w:eastAsia="宋体" w:cs="宋体"/>
          <w:spacing w:val="0"/>
          <w:w w:val="100"/>
          <w:sz w:val="24"/>
          <w:szCs w:val="24"/>
          <w:highlight w:val="none"/>
          <w:lang w:val="en-US" w:eastAsia="zh-CN"/>
        </w:rPr>
        <w:t>)</w:t>
      </w:r>
    </w:p>
    <w:p w14:paraId="75390C34">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六、付款方式和发票开具方式</w:t>
      </w:r>
    </w:p>
    <w:p w14:paraId="383530C5">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6.1签订合同后30日内，达到付款条件起 30 日内，支付合同总金额的 40.00%。</w:t>
      </w:r>
    </w:p>
    <w:p w14:paraId="3A0EEA41">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eastAsia="宋体" w:cs="宋体"/>
          <w:spacing w:val="0"/>
          <w:w w:val="100"/>
          <w:sz w:val="24"/>
          <w:szCs w:val="24"/>
          <w:highlight w:val="none"/>
          <w:lang w:val="en-US" w:eastAsia="zh-CN"/>
        </w:rPr>
        <w:t>6.2三个月达到甲方要求后 ，达到付款条件起 30 日内，支付合同总金额的 60.00%。</w:t>
      </w:r>
    </w:p>
    <w:p w14:paraId="59C88A6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3</w:t>
      </w:r>
      <w:r>
        <w:rPr>
          <w:rFonts w:hint="default" w:ascii="宋体" w:hAnsi="宋体" w:eastAsia="宋体" w:cs="宋体"/>
          <w:spacing w:val="0"/>
          <w:w w:val="100"/>
          <w:sz w:val="24"/>
          <w:szCs w:val="24"/>
          <w:highlight w:val="none"/>
          <w:lang w:val="en-US" w:eastAsia="zh-CN"/>
        </w:rPr>
        <w:t>乙方在甲方办理以上各期付款的支付手续前，向甲方出具等额的符合国家规定的发票；</w:t>
      </w:r>
    </w:p>
    <w:p w14:paraId="448890E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6.</w:t>
      </w:r>
      <w:r>
        <w:rPr>
          <w:rFonts w:hint="eastAsia" w:ascii="宋体" w:hAnsi="宋体" w:eastAsia="宋体" w:cs="宋体"/>
          <w:spacing w:val="0"/>
          <w:w w:val="100"/>
          <w:sz w:val="24"/>
          <w:szCs w:val="24"/>
          <w:highlight w:val="none"/>
          <w:lang w:val="en-US" w:eastAsia="zh-CN"/>
        </w:rPr>
        <w:t>4</w:t>
      </w:r>
      <w:r>
        <w:rPr>
          <w:rFonts w:hint="default" w:ascii="宋体" w:hAnsi="宋体" w:eastAsia="宋体" w:cs="宋体"/>
          <w:spacing w:val="0"/>
          <w:w w:val="100"/>
          <w:sz w:val="24"/>
          <w:szCs w:val="24"/>
          <w:highlight w:val="none"/>
          <w:lang w:val="en-US" w:eastAsia="zh-CN"/>
        </w:rPr>
        <w:t>上述时间不包括甲方正常办理支付报批手续的时间。</w:t>
      </w:r>
    </w:p>
    <w:p w14:paraId="0AB987E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七</w:t>
      </w:r>
      <w:r>
        <w:rPr>
          <w:rFonts w:hint="eastAsia" w:ascii="宋体" w:hAnsi="宋体" w:eastAsia="宋体" w:cs="宋体"/>
          <w:b/>
          <w:bCs/>
          <w:spacing w:val="0"/>
          <w:w w:val="100"/>
          <w:sz w:val="24"/>
          <w:szCs w:val="24"/>
          <w:highlight w:val="none"/>
          <w:lang w:val="en-US" w:eastAsia="zh-CN"/>
        </w:rPr>
        <w:t>、</w:t>
      </w:r>
      <w:r>
        <w:rPr>
          <w:rFonts w:hint="default" w:ascii="宋体" w:hAnsi="宋体" w:eastAsia="宋体" w:cs="宋体"/>
          <w:b/>
          <w:bCs/>
          <w:spacing w:val="0"/>
          <w:w w:val="100"/>
          <w:sz w:val="24"/>
          <w:szCs w:val="24"/>
          <w:highlight w:val="none"/>
          <w:lang w:val="en-US" w:eastAsia="zh-CN"/>
        </w:rPr>
        <w:t>运维服务要求</w:t>
      </w:r>
    </w:p>
    <w:p w14:paraId="317C0B0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p>
    <w:p w14:paraId="32EFCC3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八、项目验收</w:t>
      </w:r>
    </w:p>
    <w:p w14:paraId="365CF4A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8.1项目验收由甲方或其委托的专家或第三方机构对项目进行验收，验收时，乙方应无条件予以配合并提供所需的全部资料；</w:t>
      </w:r>
    </w:p>
    <w:p w14:paraId="0586185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8.2验收依据：招标文件、投标文件、合同文本、国内相应的标准、规范。</w:t>
      </w:r>
    </w:p>
    <w:p w14:paraId="7F7BC8F3">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九、知识产权</w:t>
      </w:r>
    </w:p>
    <w:p w14:paraId="4FDB785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乙方应保证其提供的服务不受任何第三方提出的侵犯其著作权、商标权、专利权等知识产权方面的起诉；如果任何第三方提出侵权指控，那么乙方须与该第三方交涉并承担由此发生的一切责任、费用和赔偿。</w:t>
      </w:r>
    </w:p>
    <w:p w14:paraId="2B2AEB4C">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十、违约责任</w:t>
      </w:r>
    </w:p>
    <w:p w14:paraId="6C86B67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10.1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4C899D32">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10.2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2D3BFC50">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十一、质量保证</w:t>
      </w:r>
    </w:p>
    <w:p w14:paraId="6BCDA4A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11.1乙方应建立和完善履行合同的内部质量保证体系，并提供相关内部规章制度给甲方，以便甲方进行监督检查；</w:t>
      </w:r>
    </w:p>
    <w:p w14:paraId="261988A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11.2乙方应保证履行合同的人员数量和素质、软件和硬件设备的配置、场地、环境和设施等满足全面履行合同的要求，并应接受甲方的监督检查。</w:t>
      </w:r>
    </w:p>
    <w:p w14:paraId="2D61552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十二、延迟履行</w:t>
      </w:r>
    </w:p>
    <w:p w14:paraId="335E397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65E941A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十三、转让</w:t>
      </w:r>
    </w:p>
    <w:p w14:paraId="3F2B60C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未经甲方事先书面同意，乙方不得部分转让或全部转让其应履行的合同义务。</w:t>
      </w:r>
    </w:p>
    <w:p w14:paraId="387E877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十四、乙方履约延误</w:t>
      </w:r>
    </w:p>
    <w:p w14:paraId="2F92FE09">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14.1乙方应在规定的服务期内提供服务。</w:t>
      </w:r>
    </w:p>
    <w:p w14:paraId="4FDAFE0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14.2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6B73BD1B">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十五、合同中止、终止</w:t>
      </w:r>
    </w:p>
    <w:p w14:paraId="5CD783C6">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15.1甲乙双方不得擅自中止或者终止合同；</w:t>
      </w:r>
    </w:p>
    <w:p w14:paraId="4D31DDD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15.2合同继续履行将损害国家利益和社会公共利益的，双方当事人应当中止或者终止合同。有过错的一方应当承担赔偿责任，双方当事人都有过错的，各自承担相应的责任。</w:t>
      </w:r>
    </w:p>
    <w:p w14:paraId="30F71B12">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十六、不可抗力</w:t>
      </w:r>
    </w:p>
    <w:p w14:paraId="2F9B3123">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16.1如果任何一方遭遇法律规定的不可抗力，致使合同履行受阻时，履行合同的期限应予延长，延长的期限应相当于不可抗力所影响的时间；</w:t>
      </w:r>
    </w:p>
    <w:p w14:paraId="7E254DF5">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16.2因不可抗力致使不能实现合同目的，甲乙双方可以解除合同；</w:t>
      </w:r>
    </w:p>
    <w:p w14:paraId="330AFE0A">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16.3因不可抗力致使合同有变更必要的，甲乙双方应在10个工作且内以书面形式变更合同；</w:t>
      </w:r>
    </w:p>
    <w:p w14:paraId="7A901A3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16.4受不可抗力影响的一方在不可抗力发生后，应在10个工作且内以书面形式通知对方，并在10个工作日内，将有关部门出具的证明文件送达对方当事人。</w:t>
      </w:r>
    </w:p>
    <w:p w14:paraId="537DEBA0">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十七、争议的解决</w:t>
      </w:r>
    </w:p>
    <w:p w14:paraId="07952CF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本合同履行过程中发生的任何争议，双方当事人均可通过和解或者调解解决；不愿和解、调解或者和解、调解不成的，可以选择下列2款方式解决：</w:t>
      </w:r>
    </w:p>
    <w:p w14:paraId="5394B6B4">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17.1将争议提交合同签订地仲裁委员会依申请仲裁时其现行有效的仲裁规则裁决；</w:t>
      </w:r>
    </w:p>
    <w:p w14:paraId="02107C38">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17.2向合同签订地人民法院起诉。</w:t>
      </w:r>
    </w:p>
    <w:p w14:paraId="2655670E">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十八、通知和送达</w:t>
      </w:r>
    </w:p>
    <w:p w14:paraId="40CBD48D">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18.1任何一方因履行合同而以合同第一部分尾部所列明的约定送达地址发出的所有通知、文件、材料，均视为已向对方当事人送达；任何一方变更上述送达方式或者地址的，应于3个工作日内书面通知对方当事人，在对方当事人收到有关变更通知之前，变更前的约定送达方式或者地址仍视为有效。</w:t>
      </w:r>
    </w:p>
    <w:p w14:paraId="3E1D229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18.2以当面交付方式送达的，交付之时视为送达；以电子邮件方式送达的，发出电子邮件之时视为送达；以传真方式送达的，发出传真之时视为送达；以邮寄方式送达的，邮件挂号寄出或者交邮之日之次日视为送达。</w:t>
      </w:r>
    </w:p>
    <w:p w14:paraId="2F1F2719">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十九、税费</w:t>
      </w:r>
    </w:p>
    <w:p w14:paraId="3847A68B">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与合同有关的一切税费，均按照中华人民共和国法律的相关规定缴纳。</w:t>
      </w:r>
    </w:p>
    <w:p w14:paraId="3ECB8D25">
      <w:pPr>
        <w:widowControl/>
        <w:kinsoku/>
        <w:autoSpaceDE/>
        <w:autoSpaceDN/>
        <w:adjustRightInd/>
        <w:snapToGrid/>
        <w:spacing w:line="360" w:lineRule="auto"/>
        <w:ind w:firstLine="480"/>
        <w:jc w:val="left"/>
        <w:textAlignment w:val="auto"/>
        <w:rPr>
          <w:rFonts w:hint="default" w:ascii="宋体" w:hAnsi="宋体" w:eastAsia="宋体" w:cs="宋体"/>
          <w:b/>
          <w:bCs/>
          <w:spacing w:val="0"/>
          <w:w w:val="100"/>
          <w:sz w:val="24"/>
          <w:szCs w:val="24"/>
          <w:highlight w:val="none"/>
          <w:lang w:val="en-US" w:eastAsia="zh-CN"/>
        </w:rPr>
      </w:pPr>
      <w:r>
        <w:rPr>
          <w:rFonts w:hint="default" w:ascii="宋体" w:hAnsi="宋体" w:eastAsia="宋体" w:cs="宋体"/>
          <w:b/>
          <w:bCs/>
          <w:spacing w:val="0"/>
          <w:w w:val="100"/>
          <w:sz w:val="24"/>
          <w:szCs w:val="24"/>
          <w:highlight w:val="none"/>
          <w:lang w:val="en-US" w:eastAsia="zh-CN"/>
        </w:rPr>
        <w:t>二十、其他</w:t>
      </w:r>
    </w:p>
    <w:p w14:paraId="5C21CE0C">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20.1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2F284C3E">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20.2本合同应按照中华人民共和国的现行法律进行解释。</w:t>
      </w:r>
    </w:p>
    <w:p w14:paraId="5E01508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20.3本合同语言为简体中文，双方交换的与合同有关的信函均按此书写。</w:t>
      </w:r>
    </w:p>
    <w:p w14:paraId="6A9FAC27">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20.4除技术规范中另有规定外，计量单位均使用中华人民共和国法定计量单位。</w:t>
      </w:r>
    </w:p>
    <w:p w14:paraId="6384C57F">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二十一、合同一经签订，不得擅自变更、中止或者终止合同。对确需变更、调整或者中止、终止合同的，应按规定履行相应的手续。</w:t>
      </w:r>
    </w:p>
    <w:p w14:paraId="3FD02300">
      <w:pPr>
        <w:widowControl/>
        <w:kinsoku/>
        <w:autoSpaceDE/>
        <w:autoSpaceDN/>
        <w:adjustRightInd/>
        <w:snapToGrid/>
        <w:spacing w:line="360" w:lineRule="auto"/>
        <w:ind w:firstLine="480"/>
        <w:jc w:val="left"/>
        <w:textAlignment w:val="auto"/>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t>二十二、本合同一式</w:t>
      </w:r>
      <w:r>
        <w:rPr>
          <w:rFonts w:hint="eastAsia" w:ascii="宋体" w:hAnsi="宋体" w:eastAsia="宋体" w:cs="宋体"/>
          <w:spacing w:val="0"/>
          <w:w w:val="100"/>
          <w:sz w:val="24"/>
          <w:szCs w:val="24"/>
          <w:highlight w:val="none"/>
          <w:lang w:val="en-US" w:eastAsia="zh-CN"/>
        </w:rPr>
        <w:t>柒</w:t>
      </w:r>
      <w:r>
        <w:rPr>
          <w:rFonts w:hint="default" w:ascii="宋体" w:hAnsi="宋体" w:eastAsia="宋体" w:cs="宋体"/>
          <w:spacing w:val="0"/>
          <w:w w:val="100"/>
          <w:sz w:val="24"/>
          <w:szCs w:val="24"/>
          <w:highlight w:val="none"/>
          <w:lang w:val="en-US" w:eastAsia="zh-CN"/>
        </w:rPr>
        <w:t>份，其中，甲方肆份，乙方贰份，采购代理机构壹份。签字盖章后生效，合同执行完毕自动失效(合同的服务承诺长期则长期有效)。</w:t>
      </w:r>
    </w:p>
    <w:p w14:paraId="5106B808">
      <w:pPr>
        <w:rPr>
          <w:rFonts w:hint="default" w:ascii="宋体" w:hAnsi="宋体" w:eastAsia="宋体" w:cs="宋体"/>
          <w:spacing w:val="0"/>
          <w:w w:val="100"/>
          <w:sz w:val="24"/>
          <w:szCs w:val="24"/>
          <w:highlight w:val="none"/>
          <w:lang w:val="en-US" w:eastAsia="zh-CN"/>
        </w:rPr>
      </w:pPr>
      <w:r>
        <w:rPr>
          <w:rFonts w:hint="default" w:ascii="宋体" w:hAnsi="宋体" w:eastAsia="宋体" w:cs="宋体"/>
          <w:spacing w:val="0"/>
          <w:w w:val="100"/>
          <w:sz w:val="24"/>
          <w:szCs w:val="24"/>
          <w:highlight w:val="none"/>
          <w:lang w:val="en-US" w:eastAsia="zh-CN"/>
        </w:rPr>
        <w:br w:type="page"/>
      </w:r>
    </w:p>
    <w:tbl>
      <w:tblPr>
        <w:tblStyle w:val="10"/>
        <w:tblW w:w="92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00"/>
        <w:gridCol w:w="4630"/>
      </w:tblGrid>
      <w:tr w14:paraId="6E48A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600" w:type="dxa"/>
            <w:vAlign w:val="center"/>
          </w:tcPr>
          <w:p w14:paraId="721BFF04">
            <w:pPr>
              <w:pStyle w:val="9"/>
              <w:spacing w:before="264" w:line="219" w:lineRule="auto"/>
              <w:ind w:left="75"/>
              <w:jc w:val="left"/>
              <w:rPr>
                <w:rFonts w:hint="eastAsia" w:eastAsia="宋体"/>
                <w:highlight w:val="none"/>
                <w:lang w:eastAsia="zh-CN"/>
              </w:rPr>
            </w:pPr>
            <w:r>
              <w:rPr>
                <w:spacing w:val="1"/>
                <w:highlight w:val="none"/>
              </w:rPr>
              <w:t>甲  方：</w:t>
            </w:r>
            <w:r>
              <w:rPr>
                <w:rFonts w:hint="eastAsia"/>
                <w:spacing w:val="1"/>
                <w:highlight w:val="none"/>
                <w:lang w:eastAsia="zh-CN"/>
              </w:rPr>
              <w:t>陕西省人民检察院西安铁路运输分院</w:t>
            </w:r>
          </w:p>
        </w:tc>
        <w:tc>
          <w:tcPr>
            <w:tcW w:w="4630" w:type="dxa"/>
            <w:vAlign w:val="center"/>
          </w:tcPr>
          <w:p w14:paraId="467BE15D">
            <w:pPr>
              <w:pStyle w:val="9"/>
              <w:spacing w:before="263" w:line="219" w:lineRule="auto"/>
              <w:ind w:left="124"/>
              <w:jc w:val="left"/>
              <w:rPr>
                <w:highlight w:val="none"/>
              </w:rPr>
            </w:pPr>
            <w:r>
              <w:rPr>
                <w:spacing w:val="1"/>
                <w:highlight w:val="none"/>
              </w:rPr>
              <w:t>乙  方：</w:t>
            </w:r>
          </w:p>
        </w:tc>
      </w:tr>
      <w:tr w14:paraId="12F51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8" w:hRule="atLeast"/>
        </w:trPr>
        <w:tc>
          <w:tcPr>
            <w:tcW w:w="4600" w:type="dxa"/>
            <w:vAlign w:val="center"/>
          </w:tcPr>
          <w:p w14:paraId="3D584E9D">
            <w:pPr>
              <w:pStyle w:val="9"/>
              <w:spacing w:before="75" w:line="219" w:lineRule="auto"/>
              <w:ind w:left="75"/>
              <w:jc w:val="left"/>
              <w:rPr>
                <w:highlight w:val="none"/>
              </w:rPr>
            </w:pPr>
            <w:r>
              <w:rPr>
                <w:spacing w:val="12"/>
                <w:highlight w:val="none"/>
              </w:rPr>
              <w:t>(盖章)</w:t>
            </w:r>
          </w:p>
        </w:tc>
        <w:tc>
          <w:tcPr>
            <w:tcW w:w="4630" w:type="dxa"/>
            <w:vAlign w:val="center"/>
          </w:tcPr>
          <w:p w14:paraId="07850EC0">
            <w:pPr>
              <w:pStyle w:val="9"/>
              <w:spacing w:before="75" w:line="219" w:lineRule="auto"/>
              <w:ind w:left="124"/>
              <w:jc w:val="left"/>
              <w:rPr>
                <w:highlight w:val="none"/>
              </w:rPr>
            </w:pPr>
            <w:r>
              <w:rPr>
                <w:spacing w:val="6"/>
                <w:highlight w:val="none"/>
              </w:rPr>
              <w:t>乙方全称(盖章)</w:t>
            </w:r>
          </w:p>
        </w:tc>
      </w:tr>
      <w:tr w14:paraId="29979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4600" w:type="dxa"/>
            <w:vAlign w:val="center"/>
          </w:tcPr>
          <w:p w14:paraId="33693FBF">
            <w:pPr>
              <w:pStyle w:val="9"/>
              <w:spacing w:before="75" w:line="229" w:lineRule="auto"/>
              <w:ind w:left="75"/>
              <w:jc w:val="left"/>
              <w:rPr>
                <w:highlight w:val="none"/>
              </w:rPr>
            </w:pPr>
            <w:r>
              <w:rPr>
                <w:spacing w:val="-2"/>
                <w:highlight w:val="none"/>
              </w:rPr>
              <w:t>地址：</w:t>
            </w:r>
          </w:p>
        </w:tc>
        <w:tc>
          <w:tcPr>
            <w:tcW w:w="4630" w:type="dxa"/>
            <w:vAlign w:val="center"/>
          </w:tcPr>
          <w:p w14:paraId="3FBE6C77">
            <w:pPr>
              <w:pStyle w:val="9"/>
              <w:spacing w:line="219" w:lineRule="auto"/>
              <w:ind w:left="124"/>
              <w:jc w:val="left"/>
              <w:rPr>
                <w:highlight w:val="none"/>
              </w:rPr>
            </w:pPr>
            <w:r>
              <w:rPr>
                <w:position w:val="20"/>
                <w:highlight w:val="none"/>
              </w:rPr>
              <w:t>地址：</w:t>
            </w:r>
          </w:p>
        </w:tc>
      </w:tr>
      <w:tr w14:paraId="56752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28464375">
            <w:pPr>
              <w:pStyle w:val="9"/>
              <w:spacing w:before="263" w:line="219" w:lineRule="auto"/>
              <w:ind w:left="75"/>
              <w:jc w:val="left"/>
              <w:rPr>
                <w:highlight w:val="none"/>
              </w:rPr>
            </w:pPr>
            <w:r>
              <w:rPr>
                <w:spacing w:val="1"/>
                <w:highlight w:val="none"/>
              </w:rPr>
              <w:t>邮编：710000</w:t>
            </w:r>
          </w:p>
        </w:tc>
        <w:tc>
          <w:tcPr>
            <w:tcW w:w="4630" w:type="dxa"/>
            <w:vAlign w:val="center"/>
          </w:tcPr>
          <w:p w14:paraId="200F62ED">
            <w:pPr>
              <w:pStyle w:val="9"/>
              <w:spacing w:before="263" w:line="219" w:lineRule="auto"/>
              <w:ind w:left="124"/>
              <w:jc w:val="left"/>
              <w:rPr>
                <w:highlight w:val="none"/>
              </w:rPr>
            </w:pPr>
            <w:r>
              <w:rPr>
                <w:spacing w:val="1"/>
                <w:highlight w:val="none"/>
              </w:rPr>
              <w:t>邮编：</w:t>
            </w:r>
          </w:p>
        </w:tc>
      </w:tr>
      <w:tr w14:paraId="58E34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Merge w:val="restart"/>
            <w:vAlign w:val="center"/>
          </w:tcPr>
          <w:p w14:paraId="2DEFA92B">
            <w:pPr>
              <w:pStyle w:val="9"/>
              <w:spacing w:before="75" w:line="219" w:lineRule="auto"/>
              <w:ind w:left="75"/>
              <w:jc w:val="left"/>
              <w:rPr>
                <w:highlight w:val="none"/>
              </w:rPr>
            </w:pPr>
            <w:r>
              <w:rPr>
                <w:spacing w:val="-20"/>
                <w:highlight w:val="none"/>
              </w:rPr>
              <w:t>全权代表(签字)：</w:t>
            </w:r>
            <w:r>
              <w:rPr>
                <w:spacing w:val="1"/>
                <w:highlight w:val="none"/>
              </w:rPr>
              <w:t xml:space="preserve">    </w:t>
            </w:r>
          </w:p>
        </w:tc>
        <w:tc>
          <w:tcPr>
            <w:tcW w:w="4630" w:type="dxa"/>
            <w:vAlign w:val="center"/>
          </w:tcPr>
          <w:p w14:paraId="4BC8FB31">
            <w:pPr>
              <w:pStyle w:val="9"/>
              <w:spacing w:before="274" w:line="219" w:lineRule="auto"/>
              <w:ind w:left="124"/>
              <w:jc w:val="left"/>
              <w:rPr>
                <w:rFonts w:ascii="宋体" w:hAnsi="宋体" w:eastAsia="宋体" w:cs="宋体"/>
                <w:spacing w:val="-1"/>
                <w:highlight w:val="none"/>
              </w:rPr>
            </w:pPr>
            <w:r>
              <w:rPr>
                <w:rFonts w:ascii="宋体" w:hAnsi="宋体" w:eastAsia="宋体" w:cs="宋体"/>
                <w:spacing w:val="-1"/>
                <w:highlight w:val="none"/>
              </w:rPr>
              <w:t>法定代表人：</w:t>
            </w:r>
          </w:p>
        </w:tc>
      </w:tr>
      <w:tr w14:paraId="77871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4600" w:type="dxa"/>
            <w:vMerge w:val="continue"/>
            <w:vAlign w:val="center"/>
          </w:tcPr>
          <w:p w14:paraId="7ED45C88">
            <w:pPr>
              <w:jc w:val="left"/>
              <w:rPr>
                <w:rFonts w:ascii="Arial"/>
                <w:sz w:val="21"/>
                <w:highlight w:val="none"/>
              </w:rPr>
            </w:pPr>
          </w:p>
        </w:tc>
        <w:tc>
          <w:tcPr>
            <w:tcW w:w="4630" w:type="dxa"/>
            <w:vAlign w:val="center"/>
          </w:tcPr>
          <w:p w14:paraId="7E21D621">
            <w:pPr>
              <w:pStyle w:val="9"/>
              <w:spacing w:before="274" w:line="219" w:lineRule="auto"/>
              <w:ind w:left="124"/>
              <w:jc w:val="left"/>
              <w:rPr>
                <w:rFonts w:ascii="宋体" w:hAnsi="宋体" w:eastAsia="宋体" w:cs="宋体"/>
                <w:spacing w:val="-1"/>
                <w:highlight w:val="none"/>
              </w:rPr>
            </w:pPr>
            <w:r>
              <w:rPr>
                <w:rFonts w:ascii="宋体" w:hAnsi="宋体" w:eastAsia="宋体" w:cs="宋体"/>
                <w:spacing w:val="-1"/>
                <w:highlight w:val="none"/>
              </w:rPr>
              <w:t xml:space="preserve">授权代表(签字)：    </w:t>
            </w:r>
          </w:p>
        </w:tc>
      </w:tr>
      <w:tr w14:paraId="21C32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6AB239B7">
            <w:pPr>
              <w:pStyle w:val="9"/>
              <w:spacing w:before="278" w:line="221" w:lineRule="auto"/>
              <w:ind w:left="75"/>
              <w:jc w:val="left"/>
              <w:rPr>
                <w:highlight w:val="none"/>
              </w:rPr>
            </w:pPr>
            <w:r>
              <w:rPr>
                <w:highlight w:val="none"/>
              </w:rPr>
              <w:t>电话：</w:t>
            </w:r>
            <w:bookmarkStart w:id="0" w:name="_GoBack"/>
            <w:bookmarkEnd w:id="0"/>
          </w:p>
        </w:tc>
        <w:tc>
          <w:tcPr>
            <w:tcW w:w="4630" w:type="dxa"/>
            <w:vAlign w:val="center"/>
          </w:tcPr>
          <w:p w14:paraId="14D29DB0">
            <w:pPr>
              <w:pStyle w:val="9"/>
              <w:spacing w:before="278" w:line="221" w:lineRule="auto"/>
              <w:ind w:left="124"/>
              <w:jc w:val="left"/>
              <w:rPr>
                <w:highlight w:val="none"/>
              </w:rPr>
            </w:pPr>
            <w:r>
              <w:rPr>
                <w:highlight w:val="none"/>
              </w:rPr>
              <w:t>电话：</w:t>
            </w:r>
          </w:p>
        </w:tc>
      </w:tr>
      <w:tr w14:paraId="7BC51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4600" w:type="dxa"/>
            <w:vAlign w:val="center"/>
          </w:tcPr>
          <w:p w14:paraId="566D20DA">
            <w:pPr>
              <w:pStyle w:val="9"/>
              <w:spacing w:before="265" w:line="219" w:lineRule="auto"/>
              <w:ind w:left="75"/>
              <w:jc w:val="left"/>
              <w:rPr>
                <w:highlight w:val="none"/>
              </w:rPr>
            </w:pPr>
            <w:r>
              <w:rPr>
                <w:highlight w:val="none"/>
              </w:rPr>
              <w:t>传真：</w:t>
            </w:r>
          </w:p>
        </w:tc>
        <w:tc>
          <w:tcPr>
            <w:tcW w:w="4630" w:type="dxa"/>
            <w:vAlign w:val="center"/>
          </w:tcPr>
          <w:p w14:paraId="6DA62656">
            <w:pPr>
              <w:pStyle w:val="9"/>
              <w:spacing w:before="265" w:line="219" w:lineRule="auto"/>
              <w:ind w:left="124"/>
              <w:jc w:val="left"/>
              <w:rPr>
                <w:highlight w:val="none"/>
              </w:rPr>
            </w:pPr>
            <w:r>
              <w:rPr>
                <w:spacing w:val="-1"/>
                <w:highlight w:val="none"/>
              </w:rPr>
              <w:t>传真：</w:t>
            </w:r>
          </w:p>
        </w:tc>
      </w:tr>
      <w:tr w14:paraId="1764C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4600" w:type="dxa"/>
            <w:vAlign w:val="center"/>
          </w:tcPr>
          <w:p w14:paraId="4D834698">
            <w:pPr>
              <w:jc w:val="left"/>
              <w:rPr>
                <w:rFonts w:ascii="Arial"/>
                <w:sz w:val="21"/>
                <w:highlight w:val="none"/>
              </w:rPr>
            </w:pPr>
          </w:p>
        </w:tc>
        <w:tc>
          <w:tcPr>
            <w:tcW w:w="4630" w:type="dxa"/>
            <w:vAlign w:val="center"/>
          </w:tcPr>
          <w:p w14:paraId="2515FCCD">
            <w:pPr>
              <w:pStyle w:val="9"/>
              <w:spacing w:before="277" w:line="219" w:lineRule="auto"/>
              <w:ind w:left="124"/>
              <w:jc w:val="left"/>
              <w:rPr>
                <w:highlight w:val="none"/>
              </w:rPr>
            </w:pPr>
            <w:r>
              <w:rPr>
                <w:highlight w:val="none"/>
              </w:rPr>
              <w:t>开户银行：</w:t>
            </w:r>
          </w:p>
        </w:tc>
      </w:tr>
      <w:tr w14:paraId="64EF3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4600" w:type="dxa"/>
            <w:vAlign w:val="center"/>
          </w:tcPr>
          <w:p w14:paraId="008651A5">
            <w:pPr>
              <w:jc w:val="left"/>
              <w:rPr>
                <w:rFonts w:ascii="Arial"/>
                <w:sz w:val="21"/>
                <w:highlight w:val="none"/>
              </w:rPr>
            </w:pPr>
          </w:p>
        </w:tc>
        <w:tc>
          <w:tcPr>
            <w:tcW w:w="4630" w:type="dxa"/>
            <w:vAlign w:val="center"/>
          </w:tcPr>
          <w:p w14:paraId="74C8201E">
            <w:pPr>
              <w:pStyle w:val="9"/>
              <w:spacing w:before="259" w:line="221" w:lineRule="auto"/>
              <w:ind w:left="124"/>
              <w:jc w:val="left"/>
              <w:rPr>
                <w:highlight w:val="none"/>
              </w:rPr>
            </w:pPr>
            <w:r>
              <w:rPr>
                <w:highlight w:val="none"/>
              </w:rPr>
              <w:t>账号：</w:t>
            </w:r>
          </w:p>
        </w:tc>
      </w:tr>
      <w:tr w14:paraId="20704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4600" w:type="dxa"/>
            <w:vAlign w:val="center"/>
          </w:tcPr>
          <w:p w14:paraId="3E7BDEEA">
            <w:pPr>
              <w:pStyle w:val="9"/>
              <w:spacing w:before="290" w:line="220" w:lineRule="auto"/>
              <w:ind w:left="75"/>
              <w:jc w:val="left"/>
              <w:rPr>
                <w:highlight w:val="none"/>
              </w:rPr>
            </w:pPr>
            <w:r>
              <w:rPr>
                <w:spacing w:val="13"/>
                <w:highlight w:val="none"/>
              </w:rPr>
              <w:t>日期</w:t>
            </w:r>
          </w:p>
        </w:tc>
        <w:tc>
          <w:tcPr>
            <w:tcW w:w="4630" w:type="dxa"/>
            <w:vAlign w:val="center"/>
          </w:tcPr>
          <w:p w14:paraId="113908A5">
            <w:pPr>
              <w:pStyle w:val="9"/>
              <w:spacing w:before="290" w:line="220" w:lineRule="auto"/>
              <w:ind w:left="124"/>
              <w:jc w:val="left"/>
              <w:rPr>
                <w:highlight w:val="none"/>
              </w:rPr>
            </w:pPr>
            <w:r>
              <w:rPr>
                <w:spacing w:val="13"/>
                <w:highlight w:val="none"/>
              </w:rPr>
              <w:t>日期</w:t>
            </w:r>
          </w:p>
        </w:tc>
      </w:tr>
    </w:tbl>
    <w:p w14:paraId="11255E6F">
      <w:pPr>
        <w:rPr>
          <w:rFonts w:hint="default" w:ascii="宋体" w:hAnsi="宋体" w:eastAsia="宋体" w:cs="宋体"/>
          <w:spacing w:val="0"/>
          <w:w w:val="100"/>
          <w:sz w:val="24"/>
          <w:szCs w:val="24"/>
          <w:highlight w:val="none"/>
          <w:lang w:val="en-US" w:eastAsia="zh-CN"/>
        </w:rPr>
      </w:pPr>
    </w:p>
    <w:p w14:paraId="768D2571">
      <w:pPr>
        <w:spacing w:before="235" w:line="387" w:lineRule="auto"/>
        <w:ind w:left="24" w:right="12" w:firstLine="478"/>
        <w:jc w:val="both"/>
        <w:rPr>
          <w:rFonts w:hint="eastAsia" w:ascii="宋体" w:hAnsi="宋体" w:eastAsia="宋体" w:cs="宋体"/>
          <w:spacing w:val="-3"/>
          <w:sz w:val="24"/>
          <w:szCs w:val="24"/>
          <w:highlight w:val="none"/>
          <w:lang w:val="en-US" w:eastAsia="zh-CN"/>
        </w:rPr>
      </w:pPr>
    </w:p>
    <w:sectPr>
      <w:footerReference r:id="rId3" w:type="default"/>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85BFA">
    <w:pPr>
      <w:spacing w:line="176" w:lineRule="auto"/>
      <w:ind w:left="4101"/>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3E2166F4"/>
    <w:rsid w:val="09A418D9"/>
    <w:rsid w:val="0A3C521F"/>
    <w:rsid w:val="22721ED6"/>
    <w:rsid w:val="270C1476"/>
    <w:rsid w:val="3C3232B3"/>
    <w:rsid w:val="3E216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8">
    <w:name w:val="List Paragraph"/>
    <w:basedOn w:val="1"/>
    <w:autoRedefine/>
    <w:qFormat/>
    <w:uiPriority w:val="34"/>
    <w:pPr>
      <w:ind w:firstLine="420" w:firstLineChars="200"/>
    </w:pPr>
  </w:style>
  <w:style w:type="paragraph" w:customStyle="1" w:styleId="9">
    <w:name w:val="Table Text"/>
    <w:basedOn w:val="1"/>
    <w:semiHidden/>
    <w:qFormat/>
    <w:uiPriority w:val="0"/>
    <w:rPr>
      <w:rFonts w:ascii="宋体" w:hAnsi="宋体" w:eastAsia="宋体" w:cs="宋体"/>
      <w:sz w:val="24"/>
      <w:szCs w:val="24"/>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2531</Words>
  <Characters>2669</Characters>
  <Lines>0</Lines>
  <Paragraphs>0</Paragraphs>
  <TotalTime>2</TotalTime>
  <ScaleCrop>false</ScaleCrop>
  <LinksUpToDate>false</LinksUpToDate>
  <CharactersWithSpaces>2724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2024-04-29T12:35:00Z</dcterms:created>
  <dc:creator>贾旭鸣</dc:creator>
  <cp:lastModifiedBy>安颜</cp:lastModifiedBy>
  <dcterms:modified xsi:type="dcterms:W3CDTF">2025-05-28T08:33:08Z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F715D7245B7C46E78B6F094593B7283A_13</vt:lpwstr>
  </property>
  <property fmtid="{D5CDD505-2E9C-101B-9397-08002B2CF9AE}" pid="4" name="KSOTemplateDocerSaveRecord">
    <vt:lpwstr>eyJoZGlkIjoiMWIxM2MyYTM4NjQxMmZlNDM5Mzc3ZGE5ZmRjMmIzMzUiLCJ1c2VySWQiOiI2NDA3MTUyMzMifQ==</vt:lpwstr>
  </property>
</Properties>
</file>