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版本号：BC-2025-052020250528001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郭杜校区消防施工整改（重点项目）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BC-2025-0520</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佰晨项目管理有限公司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佰晨项目管理有限公司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郭杜校区消防施工整改（重点项目）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BC-2025-0520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郭杜校区消防施工整改（重点项目）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热力中心增设防爆消防报警系统，更换防爆事故风机，值班室配推车式灭火器，更换甲级防火门及防火窗。2.综合楼更换正压送风风机故障;变配电室采购有关模块并联网:高位水箱间安装消防电话。3.教学实验楼地下一层采购、安装、调试、更换自动喷水灭火系统、排烟风机等教学实验楼内走道每层划分三个防烟区，施工改造;教学实验高位水箱制作、安装改造等，具体采购内容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采购包1（郭杜校区消防施工整改(重点项目)）：属于专门面向中小企业采购。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健全的财务会计制度：提供经审计的2023年度或2024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rFonts w:ascii="仿宋_GB2312" w:hAnsi="仿宋_GB2312" w:cs="仿宋_GB2312" w:eastAsia="仿宋_GB2312"/>
        </w:rPr>
        <w:t>3、具有良好的商业信誉：供应商不得被“信用中国”网站（www.creditchina.gov.cn）列入失信被执行人或重大税收违法失信主体名单，不得被财政部门在中国政府采购网（www.ccgp.gov.cn）政府采购严重违法失信行为记录名单中禁止参加政府采购活动。供应商可不提供，代理机构可现场查询。</w:t>
      </w:r>
    </w:p>
    <w:p>
      <w:pPr>
        <w:pStyle w:val="null3"/>
      </w:pPr>
      <w:r>
        <w:rPr>
          <w:rFonts w:ascii="仿宋_GB2312" w:hAnsi="仿宋_GB2312" w:cs="仿宋_GB2312" w:eastAsia="仿宋_GB2312"/>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w:t>
      </w:r>
    </w:p>
    <w:p>
      <w:pPr>
        <w:pStyle w:val="null3"/>
      </w:pPr>
      <w:r>
        <w:rPr>
          <w:rFonts w:ascii="仿宋_GB2312" w:hAnsi="仿宋_GB2312" w:cs="仿宋_GB2312" w:eastAsia="仿宋_GB2312"/>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7、参加政府采购活动前三年内，在经营活动中没有重大违法记录：提供参加政府采购活动前三年内，在经营活动中没有重大违法记录的承诺。</w:t>
      </w:r>
    </w:p>
    <w:p>
      <w:pPr>
        <w:pStyle w:val="null3"/>
      </w:pPr>
      <w:r>
        <w:rPr>
          <w:rFonts w:ascii="仿宋_GB2312" w:hAnsi="仿宋_GB2312" w:cs="仿宋_GB2312" w:eastAsia="仿宋_GB2312"/>
        </w:rPr>
        <w:t>8、供应商特殊资质：提供具备建筑行政主管部门颁发的消防设施工程专业承包二级及以上资质证明，并具有合格有效的安全生产许可证；</w:t>
      </w:r>
    </w:p>
    <w:p>
      <w:pPr>
        <w:pStyle w:val="null3"/>
      </w:pPr>
      <w:r>
        <w:rPr>
          <w:rFonts w:ascii="仿宋_GB2312" w:hAnsi="仿宋_GB2312" w:cs="仿宋_GB2312" w:eastAsia="仿宋_GB2312"/>
        </w:rPr>
        <w:t>9、项目经理资质：提供拟派项目经理须具备机电工程专业二级及以上注册建造师执业资格证且在本单位注册证明，具备有效的安全生产考核合格证（建安B证），且未担任其它在建工程的项目经理资格证明。</w:t>
      </w:r>
    </w:p>
    <w:p>
      <w:pPr>
        <w:pStyle w:val="null3"/>
      </w:pPr>
      <w:r>
        <w:rPr>
          <w:rFonts w:ascii="仿宋_GB2312" w:hAnsi="仿宋_GB2312" w:cs="仿宋_GB2312" w:eastAsia="仿宋_GB2312"/>
        </w:rPr>
        <w:t>10、其他要求：供应商及项目经理信息在“陕西省建筑市场监管与诚信信息发布平台”可查询：供应商及项目经理信息在“陕西省建筑市场监管与诚信信息发布平台”可查询</w:t>
      </w:r>
    </w:p>
    <w:p>
      <w:pPr>
        <w:pStyle w:val="null3"/>
      </w:pPr>
      <w:r>
        <w:rPr>
          <w:rFonts w:ascii="仿宋_GB2312" w:hAnsi="仿宋_GB2312" w:cs="仿宋_GB2312" w:eastAsia="仿宋_GB2312"/>
        </w:rPr>
        <w:t>11、专门面向中小企业采购项目：提供本项目《中小企业声明函》;</w:t>
      </w:r>
    </w:p>
    <w:p>
      <w:pPr>
        <w:pStyle w:val="null3"/>
      </w:pPr>
      <w:r>
        <w:rPr>
          <w:rFonts w:ascii="仿宋_GB2312" w:hAnsi="仿宋_GB2312" w:cs="仿宋_GB2312" w:eastAsia="仿宋_GB2312"/>
        </w:rPr>
        <w:t>12、不接受联合体投标：本项目不接受联合体投标，供应商自行承诺；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陕西开放大学帅老师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佰晨项目管理有限公司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西安市西咸新区沣东新城文宣一路中兴深蓝科技产业园三期3号楼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18165305497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采购代理服务收费管理暂行办法》（计价格〔2002〕1980号）和国家发展和改革委员会办公厅颁发的《关于采购代理服务收费有关问题的通知》（发改办价格〔2003〕857号）的有关规定标准计取，不足5000元，按5000元收取。 供应商将招标代理服务费计入投标报价但不单独列明，中标单位在领取中标通知书前，须向采购代理机构一次性支付招标代理服务费；代理服务费以转账、电汇或现金等形式交纳。 代理费缴纳账号信息： 公司名称：佰晨项目管理有限公司 开户行：交通银行股份有限公司西安兴庆南路支行账号：611301035013002065318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佰晨项目管理有限公司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佰晨项目管理有限公司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佰晨项目管理有限公司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依据《建筑工程施工质量验收统一标准》（GB50300-2013）、《建筑装饰装修工程施工质量验收规范》（GB50210-2018）、满足各楼宇建设时期的消防规范要求等国家相关行业质量验收规范合格标准及成交供应商与采购人签订的政府采购合同进行验收。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联系电话：18165305497</w:t>
      </w:r>
    </w:p>
    <w:p>
      <w:pPr>
        <w:pStyle w:val="null3"/>
      </w:pPr>
      <w:r>
        <w:rPr>
          <w:rFonts w:ascii="仿宋_GB2312" w:hAnsi="仿宋_GB2312" w:cs="仿宋_GB2312" w:eastAsia="仿宋_GB2312"/>
        </w:rPr>
        <w:t>地址：陕西省西安市雁塔区西安市科技二路启迪清扬时代D座10楼21001室（或发送至本邮箱，以到达时间为准Baichenxiangmu@163.com ）</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622,000.00</w:t>
      </w:r>
    </w:p>
    <w:p>
      <w:pPr>
        <w:pStyle w:val="null3"/>
      </w:pPr>
      <w:r>
        <w:rPr>
          <w:rFonts w:ascii="仿宋_GB2312" w:hAnsi="仿宋_GB2312" w:cs="仿宋_GB2312" w:eastAsia="仿宋_GB2312"/>
        </w:rPr>
        <w:t>采购包最高限价（元）: 621,934.33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消防施工整改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622,000.00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标的名称：消防施工整改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4"/>
              <w:gridCol w:w="213"/>
              <w:gridCol w:w="2026"/>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参数性质</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序号</w:t>
                  </w:r>
                </w:p>
              </w:tc>
              <w:tc>
                <w:tcPr>
                  <w:tcW w:type="dxa" w:w="20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一、项目内容</w:t>
                  </w:r>
                </w:p>
                <w:p>
                  <w:pPr>
                    <w:pStyle w:val="null3"/>
                  </w:pPr>
                  <w:r>
                    <w:rPr>
                      <w:rFonts w:ascii="仿宋_GB2312" w:hAnsi="仿宋_GB2312" w:cs="仿宋_GB2312" w:eastAsia="仿宋_GB2312"/>
                      <w:sz w:val="21"/>
                    </w:rPr>
                    <w:t>1.热力中心增设防爆消防报警系统，更换防爆事故风机，值班室配推车式灭火器，更换甲级防火门及防火窗。</w:t>
                  </w:r>
                </w:p>
                <w:p>
                  <w:pPr>
                    <w:pStyle w:val="null3"/>
                  </w:pPr>
                  <w:r>
                    <w:rPr>
                      <w:rFonts w:ascii="仿宋_GB2312" w:hAnsi="仿宋_GB2312" w:cs="仿宋_GB2312" w:eastAsia="仿宋_GB2312"/>
                      <w:sz w:val="21"/>
                    </w:rPr>
                    <w:t>2.综合楼前室正压送风风机故障，打开送风口风机无法正常启动。更换。</w:t>
                  </w:r>
                </w:p>
                <w:p>
                  <w:pPr>
                    <w:pStyle w:val="null3"/>
                  </w:pPr>
                  <w:r>
                    <w:rPr>
                      <w:rFonts w:ascii="仿宋_GB2312" w:hAnsi="仿宋_GB2312" w:cs="仿宋_GB2312" w:eastAsia="仿宋_GB2312"/>
                      <w:sz w:val="21"/>
                    </w:rPr>
                    <w:t>3.综合楼变配电室气体灭火主机未联网。采购有关模块并联</w:t>
                  </w:r>
                </w:p>
                <w:p>
                  <w:pPr>
                    <w:pStyle w:val="null3"/>
                  </w:pPr>
                  <w:r>
                    <w:rPr>
                      <w:rFonts w:ascii="仿宋_GB2312" w:hAnsi="仿宋_GB2312" w:cs="仿宋_GB2312" w:eastAsia="仿宋_GB2312"/>
                      <w:sz w:val="21"/>
                    </w:rPr>
                    <w:t>网。</w:t>
                  </w:r>
                </w:p>
                <w:p>
                  <w:pPr>
                    <w:pStyle w:val="null3"/>
                  </w:pPr>
                  <w:r>
                    <w:rPr>
                      <w:rFonts w:ascii="仿宋_GB2312" w:hAnsi="仿宋_GB2312" w:cs="仿宋_GB2312" w:eastAsia="仿宋_GB2312"/>
                      <w:sz w:val="21"/>
                    </w:rPr>
                    <w:t>4.综合楼高位水箱间安装消防电话。</w:t>
                  </w:r>
                </w:p>
                <w:p>
                  <w:pPr>
                    <w:pStyle w:val="null3"/>
                  </w:pPr>
                  <w:r>
                    <w:rPr>
                      <w:rFonts w:ascii="仿宋_GB2312" w:hAnsi="仿宋_GB2312" w:cs="仿宋_GB2312" w:eastAsia="仿宋_GB2312"/>
                      <w:sz w:val="21"/>
                    </w:rPr>
                    <w:t>5.教学实验楼地下一层设施自动喷水灭火系统，未设置火灾自动报警系统;排烟风机无法启动;自喷喷头距顶板距离不满足规范要求。采购、安装、调试更换。</w:t>
                  </w:r>
                </w:p>
                <w:p>
                  <w:pPr>
                    <w:pStyle w:val="null3"/>
                  </w:pPr>
                  <w:r>
                    <w:rPr>
                      <w:rFonts w:ascii="仿宋_GB2312" w:hAnsi="仿宋_GB2312" w:cs="仿宋_GB2312" w:eastAsia="仿宋_GB2312"/>
                      <w:sz w:val="21"/>
                    </w:rPr>
                    <w:t>6.教学实验楼内走道超60米，排烟不满足规范要求。每层划分三个防烟区，施工改造。</w:t>
                  </w:r>
                </w:p>
                <w:p>
                  <w:pPr>
                    <w:pStyle w:val="null3"/>
                    <w:jc w:val="both"/>
                  </w:pPr>
                  <w:r>
                    <w:rPr>
                      <w:rFonts w:ascii="仿宋_GB2312" w:hAnsi="仿宋_GB2312" w:cs="仿宋_GB2312" w:eastAsia="仿宋_GB2312"/>
                      <w:sz w:val="21"/>
                    </w:rPr>
                    <w:t>具体内容详见附件图纸及工程量清单要求。</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1.工期：</w:t>
                  </w:r>
                  <w:r>
                    <w:rPr>
                      <w:rFonts w:ascii="仿宋_GB2312" w:hAnsi="仿宋_GB2312" w:cs="仿宋_GB2312" w:eastAsia="仿宋_GB2312"/>
                      <w:sz w:val="21"/>
                    </w:rPr>
                    <w:t>60日历天</w:t>
                  </w:r>
                  <w:r>
                    <w:rPr>
                      <w:rFonts w:ascii="仿宋_GB2312" w:hAnsi="仿宋_GB2312" w:cs="仿宋_GB2312" w:eastAsia="仿宋_GB2312"/>
                      <w:sz w:val="21"/>
                    </w:rPr>
                    <w:t>（具体开工日期以采购人或监理工程师发出开工指令之日为准）。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.质保期：本工程整体质量保修期不少于两年，自验收合格之日起计算，若供应商承诺质量保修期多于文件要求的则按其承诺，保修期内须提供24小时内的紧急维修服务。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.磋商报价要求：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供应商的磋商总报价应综合考虑磋商文件中提出的各项费用支出。如施工、设备材料采购供应、设备操作人员和维护人员的培训、消防验收手续办理、试运行、竣工资料的汇总移交等全部费用，同时供应商应充分考虑材料价格、工期定额、资金拨付、政策性调整等未知风险因素，项目实施过程中因承包人原因未能全面理解验收标准及发包人要求等情况引起的本项目的漏项、缺项或变更，采购人视为费用已包含在磋商报价中，不再另行增加费用。</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供应商充分考虑定额人工费调价、材料价格波动、工期定额、资金拨付、政策性调整、采购需求未能全部罗列验收合格标准中的细节问题等全部未知风险因素，在项目实施过程中不再因为上述任何因素调整价格。</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3）每个供应商每次报价对本工程只允许有一个报价，采购人不接受有任何选择的报价。供应商应提交与磋商文件包括发包人要求相符的磋商报价。</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.付款方式</w:t>
                  </w:r>
                </w:p>
                <w:p>
                  <w:pPr>
                    <w:pStyle w:val="null3"/>
                    <w:ind w:firstLine="480"/>
                    <w:jc w:val="both"/>
                  </w:pPr>
                  <w:r>
                    <w:rPr>
                      <w:rFonts w:ascii="仿宋_GB2312" w:hAnsi="仿宋_GB2312" w:cs="仿宋_GB2312" w:eastAsia="仿宋_GB2312"/>
                      <w:sz w:val="21"/>
                    </w:rPr>
                    <w:t>（1）合同签订后，达到付款条件30日内，支付合同总金额30%；工程完工后，达到付款条件30日内，支付合同总金额40%；验收合格且经结算审计后，达到付款条件30日内，支付合同总金额30%。</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2）工程整体质保2年。</w:t>
                  </w:r>
                  <w:r>
                    <w:rPr>
                      <w:rFonts w:ascii="仿宋_GB2312" w:hAnsi="仿宋_GB2312" w:cs="仿宋_GB2312" w:eastAsia="仿宋_GB2312"/>
                      <w:sz w:val="21"/>
                    </w:rPr>
                    <w:t>质保期内发现的工程缺陷承包人负责维修</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3）每次付款前，承包人须提供合法合规的增值税发票（税率按本合同价款后的约定），否则，发包人有权拒绝支付任何款项。</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供应商须提供消防验收承诺，按照属地管理部门要求进行消防改造，达到属地住建部门验收标准，项目改造完成后，应取得属地住建部门阶段性验收指导意见或相关文件。</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符合本项目采购清单要求、建筑装饰装修工程质量验收规范和国家、陕西省、西安市消防规范质量验评标准。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1.质量标准： 合格。 2.验收：（1）结合《陕西省教育厅 陕西省住房和城乡建设厅 陕西省消防救援总队关于开展排查化解高校校内建筑消防安全隐患专项行动的通知》及《已交楼未进行消防验收三年攻坚行动工作指南（试行）》要求,成交供应商完工后应配合第三方检测机构做好消防审查验收工作。（2）工程完工后，供应商应及时提出申请，由采购人同意后，由采购人组织验收。(3)验收依据：依据《建筑工程施工质量验收统一标准》（GB50300-2013）、《建筑装饰装修工程施工质量验收规范》（GB50210-2018）、满足消防规范要求等国家及相关行业省市质量验收规范合格标准及成交供应商与采购人签订的政府采购合同进行验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1.质量保修范围和保修期：工程保修期2年。 2.知识产权归属和处理方式：供应商应当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供应商如欲在项目实施过程中采用自有知识成果，需在响应文件中声明，并提供相关知识产权证明文件。使用该知识成果后，供应商需提供开发接口和开发手册等技术文档，并承诺提供无限期技术支持，采购人享有永久使用权。如采用供应商所不拥有的知识产权，则在响应报价中必须包括合法获取该知识产权的相关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1、供应商应提交的资格审查资料.docx 2、符合性评审内容.docx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供应商需在项目电子化交易系统中按评审要求一一响应，完成承诺并进行电子签章。</w:t>
            </w:r>
          </w:p>
        </w:tc>
        <w:tc>
          <w:tcPr>
            <w:tcW w:type="dxa" w:w="1661"/>
          </w:tcPr>
          <w:p>
            <w:pPr>
              <w:pStyle w:val="null3"/>
            </w:pPr>
            <w:r>
              <w:rPr>
                <w:rFonts w:ascii="仿宋_GB2312" w:hAnsi="仿宋_GB2312" w:cs="仿宋_GB2312" w:eastAsia="仿宋_GB2312"/>
              </w:rPr>
              <w:t>响应函 1、供应商应提交的资格审查资料.docx 2、符合性评审内容.docx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参与的供应商（联合体）工程的施工单位全部为符合政策要求的中小企业，依据要求填写。</w:t>
            </w:r>
          </w:p>
        </w:tc>
        <w:tc>
          <w:tcPr>
            <w:tcW w:type="dxa" w:w="1661"/>
          </w:tcPr>
          <w:p>
            <w:pPr>
              <w:pStyle w:val="null3"/>
            </w:pPr>
            <w:r>
              <w:rPr>
                <w:rFonts w:ascii="仿宋_GB2312" w:hAnsi="仿宋_GB2312" w:cs="仿宋_GB2312" w:eastAsia="仿宋_GB2312"/>
              </w:rPr>
              <w:t>中小企业声明函 残疾人福利性单位声明函 1、供应商应提交的资格审查资料.docx 监狱企业的证明文件 2、符合性评审内容.docx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1、供应商应提交的资格审查资料.docx 2、符合性评审内容.docx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经审计的2023年度或2024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1、供应商应提交的资格审查资料.docx 2、符合性评审内容.docx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被“信用中国”网站（www.creditchina.gov.cn）列入失信被执行人或重大税收违法失信主体名单，不得被财政部门在中国政府采购网（www.ccgp.gov.cn）政府采购严重违法失信行为记录名单中禁止参加政府采购活动。供应商可不提供，代理机构可现场查询。</w:t>
            </w:r>
          </w:p>
        </w:tc>
        <w:tc>
          <w:tcPr>
            <w:tcW w:type="dxa" w:w="1661"/>
          </w:tcPr>
          <w:p>
            <w:pPr>
              <w:pStyle w:val="null3"/>
            </w:pPr>
            <w:r>
              <w:rPr>
                <w:rFonts w:ascii="仿宋_GB2312" w:hAnsi="仿宋_GB2312" w:cs="仿宋_GB2312" w:eastAsia="仿宋_GB2312"/>
              </w:rPr>
              <w:t>1、供应商应提交的资格审查资料.docx 2、符合性评审内容.docx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w:t>
            </w:r>
          </w:p>
        </w:tc>
        <w:tc>
          <w:tcPr>
            <w:tcW w:type="dxa" w:w="1661"/>
          </w:tcPr>
          <w:p>
            <w:pPr>
              <w:pStyle w:val="null3"/>
            </w:pPr>
            <w:r>
              <w:rPr>
                <w:rFonts w:ascii="仿宋_GB2312" w:hAnsi="仿宋_GB2312" w:cs="仿宋_GB2312" w:eastAsia="仿宋_GB2312"/>
              </w:rPr>
              <w:t>1、供应商应提交的资格审查资料.docx 2、符合性评审内容.docx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1、供应商应提交的资格审查资料.docx 2、符合性评审内容.docx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1、供应商应提交的资格审查资料.docx 2、符合性评审内容.docx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提供参加政府采购活动前三年内，在经营活动中没有重大违法记录的承诺。</w:t>
            </w:r>
          </w:p>
        </w:tc>
        <w:tc>
          <w:tcPr>
            <w:tcW w:type="dxa" w:w="1661"/>
          </w:tcPr>
          <w:p>
            <w:pPr>
              <w:pStyle w:val="null3"/>
            </w:pPr>
            <w:r>
              <w:rPr>
                <w:rFonts w:ascii="仿宋_GB2312" w:hAnsi="仿宋_GB2312" w:cs="仿宋_GB2312" w:eastAsia="仿宋_GB2312"/>
              </w:rPr>
              <w:t>1、供应商应提交的资格审查资料.docx 2、符合性评审内容.docx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供应商特殊资质</w:t>
            </w:r>
          </w:p>
        </w:tc>
        <w:tc>
          <w:tcPr>
            <w:tcW w:type="dxa" w:w="3322"/>
          </w:tcPr>
          <w:p>
            <w:pPr>
              <w:pStyle w:val="null3"/>
            </w:pPr>
            <w:r>
              <w:rPr>
                <w:rFonts w:ascii="仿宋_GB2312" w:hAnsi="仿宋_GB2312" w:cs="仿宋_GB2312" w:eastAsia="仿宋_GB2312"/>
              </w:rPr>
              <w:t>提供具备建筑行政主管部门颁发的消防设施工程专业承包二级及以上资质证明，并具有合格有效的安全生产许可证；</w:t>
            </w:r>
          </w:p>
        </w:tc>
        <w:tc>
          <w:tcPr>
            <w:tcW w:type="dxa" w:w="1661"/>
          </w:tcPr>
          <w:p>
            <w:pPr>
              <w:pStyle w:val="null3"/>
            </w:pPr>
            <w:r>
              <w:rPr>
                <w:rFonts w:ascii="仿宋_GB2312" w:hAnsi="仿宋_GB2312" w:cs="仿宋_GB2312" w:eastAsia="仿宋_GB2312"/>
              </w:rPr>
              <w:t>1、供应商应提交的资格审查资料.docx 2、符合性评审内容.docx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提供拟派项目经理须具备机电工程专业二级及以上注册建造师执业资格证且在本单位注册证明，具备有效的安全生产考核合格证（建安B证），且未担任其它在建工程的项目经理资格证明。</w:t>
            </w:r>
          </w:p>
        </w:tc>
        <w:tc>
          <w:tcPr>
            <w:tcW w:type="dxa" w:w="1661"/>
          </w:tcPr>
          <w:p>
            <w:pPr>
              <w:pStyle w:val="null3"/>
            </w:pPr>
            <w:r>
              <w:rPr>
                <w:rFonts w:ascii="仿宋_GB2312" w:hAnsi="仿宋_GB2312" w:cs="仿宋_GB2312" w:eastAsia="仿宋_GB2312"/>
              </w:rPr>
              <w:t>1、供应商应提交的资格审查资料.docx 2、符合性评审内容.docx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1、供应商应提交的资格审查资料.docx 2、符合性评审内容.docx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专门面向中小企业采购项目</w:t>
            </w:r>
          </w:p>
        </w:tc>
        <w:tc>
          <w:tcPr>
            <w:tcW w:type="dxa" w:w="3322"/>
          </w:tcPr>
          <w:p>
            <w:pPr>
              <w:pStyle w:val="null3"/>
            </w:pPr>
            <w:r>
              <w:rPr>
                <w:rFonts w:ascii="仿宋_GB2312" w:hAnsi="仿宋_GB2312" w:cs="仿宋_GB2312" w:eastAsia="仿宋_GB2312"/>
              </w:rPr>
              <w:t>提供本项目《中小企业声明函》;</w:t>
            </w:r>
          </w:p>
        </w:tc>
        <w:tc>
          <w:tcPr>
            <w:tcW w:type="dxa" w:w="1661"/>
          </w:tcPr>
          <w:p>
            <w:pPr>
              <w:pStyle w:val="null3"/>
            </w:pPr>
            <w:r>
              <w:rPr>
                <w:rFonts w:ascii="仿宋_GB2312" w:hAnsi="仿宋_GB2312" w:cs="仿宋_GB2312" w:eastAsia="仿宋_GB2312"/>
              </w:rPr>
              <w:t>中小企业声明函 1、供应商应提交的资格审查资料.docx 2、符合性评审内容.docx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本项目不接受联合体投标，供应商自行承诺；</w:t>
            </w:r>
          </w:p>
        </w:tc>
        <w:tc>
          <w:tcPr>
            <w:tcW w:type="dxa" w:w="1661"/>
          </w:tcPr>
          <w:p>
            <w:pPr>
              <w:pStyle w:val="null3"/>
            </w:pPr>
            <w:r>
              <w:rPr>
                <w:rFonts w:ascii="仿宋_GB2312" w:hAnsi="仿宋_GB2312" w:cs="仿宋_GB2312" w:eastAsia="仿宋_GB2312"/>
              </w:rPr>
              <w:t>1、供应商应提交的资格审查资料.docx 2、符合性评审内容.docx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1、供应商应提交的资格审查资料.docx 2、符合性评审内容.docx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供应商名称是否与营业执照、资质证书、安全生产许可证一致</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响应文件封面 1、供应商应提交的资格审查资料.docx 2、符合性评审内容.docx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响应函是否按竞争性磋商文件要求签署、盖章的</w:t>
            </w:r>
          </w:p>
        </w:tc>
        <w:tc>
          <w:tcPr>
            <w:tcW w:type="dxa" w:w="3322"/>
          </w:tcPr>
          <w:p>
            <w:pPr>
              <w:pStyle w:val="null3"/>
            </w:pPr>
            <w:r>
              <w:rPr>
                <w:rFonts w:ascii="仿宋_GB2312" w:hAnsi="仿宋_GB2312" w:cs="仿宋_GB2312" w:eastAsia="仿宋_GB2312"/>
              </w:rPr>
              <w:t>响应函应需在项目电子化交易系统中按要求填写《响应函》、《报价函》完成承诺并进行电子签章。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已标价工程量清单 已标价工程量清单.docx 3、企业业绩.docx 中小企业声明函 技术服务合同条款及其他商务要求应答表 1、供应商应提交的资格审查资料.docx 强制优先采购产品承诺函 2、符合性评审内容.docx 7、施工组织设计方案1-6.docx 响应文件封面 项目管理机构组成表 4、项目经理1-2.docx 5、拟派技术负责人1-2.docx 6、项目部人员构成.docx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响应文件报价是否唯一</w:t>
            </w:r>
          </w:p>
        </w:tc>
        <w:tc>
          <w:tcPr>
            <w:tcW w:type="dxa" w:w="3322"/>
          </w:tcPr>
          <w:p>
            <w:pPr>
              <w:pStyle w:val="null3"/>
            </w:pPr>
            <w:r>
              <w:rPr>
                <w:rFonts w:ascii="仿宋_GB2312" w:hAnsi="仿宋_GB2312" w:cs="仿宋_GB2312" w:eastAsia="仿宋_GB2312"/>
              </w:rPr>
              <w:t>每次报价只能有一个有效报价，原则上二次报价为最终报价，且二次报价不得超过一次报价。</w:t>
            </w:r>
          </w:p>
        </w:tc>
        <w:tc>
          <w:tcPr>
            <w:tcW w:type="dxa" w:w="1661"/>
          </w:tcPr>
          <w:p>
            <w:pPr>
              <w:pStyle w:val="null3"/>
            </w:pPr>
            <w:r>
              <w:rPr>
                <w:rFonts w:ascii="仿宋_GB2312" w:hAnsi="仿宋_GB2312" w:cs="仿宋_GB2312" w:eastAsia="仿宋_GB2312"/>
              </w:rPr>
              <w:t>响应文件封面 已标价工程量清单.docx 报价函 响应函 1、供应商应提交的资格审查资料.docx 2、符合性评审内容.docx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供应商是否在项目电子化交易系统中按要求填写工期</w:t>
            </w:r>
          </w:p>
        </w:tc>
        <w:tc>
          <w:tcPr>
            <w:tcW w:type="dxa" w:w="3322"/>
          </w:tcPr>
          <w:p>
            <w:pPr>
              <w:pStyle w:val="null3"/>
            </w:pPr>
            <w:r>
              <w:rPr>
                <w:rFonts w:ascii="仿宋_GB2312" w:hAnsi="仿宋_GB2312" w:cs="仿宋_GB2312" w:eastAsia="仿宋_GB2312"/>
              </w:rPr>
              <w:t>供应商须在项目电子化交易系统中按要求填写《响应函》、《报价函》完成承诺并进行电子签章。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响应文件封面 2、符合性评审内容.docx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供应商是否在项目电子化交易系统中按要求填写工程质量</w:t>
            </w:r>
          </w:p>
        </w:tc>
        <w:tc>
          <w:tcPr>
            <w:tcW w:type="dxa" w:w="3322"/>
          </w:tcPr>
          <w:p>
            <w:pPr>
              <w:pStyle w:val="null3"/>
            </w:pPr>
            <w:r>
              <w:rPr>
                <w:rFonts w:ascii="仿宋_GB2312" w:hAnsi="仿宋_GB2312" w:cs="仿宋_GB2312" w:eastAsia="仿宋_GB2312"/>
              </w:rPr>
              <w:t>符合响应文件要求。</w:t>
            </w:r>
          </w:p>
        </w:tc>
        <w:tc>
          <w:tcPr>
            <w:tcW w:type="dxa" w:w="1661"/>
          </w:tcPr>
          <w:p>
            <w:pPr>
              <w:pStyle w:val="null3"/>
            </w:pPr>
            <w:r>
              <w:rPr>
                <w:rFonts w:ascii="仿宋_GB2312" w:hAnsi="仿宋_GB2312" w:cs="仿宋_GB2312" w:eastAsia="仿宋_GB2312"/>
              </w:rPr>
              <w:t>响应文件封面 2、符合性评审内容.docx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拟派技术负责人</w:t>
            </w:r>
          </w:p>
        </w:tc>
        <w:tc>
          <w:tcPr>
            <w:tcW w:type="dxa" w:w="3322"/>
          </w:tcPr>
          <w:p>
            <w:pPr>
              <w:pStyle w:val="null3"/>
            </w:pPr>
            <w:r>
              <w:rPr>
                <w:rFonts w:ascii="仿宋_GB2312" w:hAnsi="仿宋_GB2312" w:cs="仿宋_GB2312" w:eastAsia="仿宋_GB2312"/>
              </w:rPr>
              <w:t>拟派技术负责人无其它在建工程。</w:t>
            </w:r>
          </w:p>
        </w:tc>
        <w:tc>
          <w:tcPr>
            <w:tcW w:type="dxa" w:w="1661"/>
          </w:tcPr>
          <w:p>
            <w:pPr>
              <w:pStyle w:val="null3"/>
            </w:pPr>
            <w:r>
              <w:rPr>
                <w:rFonts w:ascii="仿宋_GB2312" w:hAnsi="仿宋_GB2312" w:cs="仿宋_GB2312" w:eastAsia="仿宋_GB2312"/>
              </w:rPr>
              <w:t>响应文件封面 项目管理机构组成表 1、供应商应提交的资格审查资料.docx 2、符合性评审内容.docx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第三章磋商项目技术、服务、商务及其他要求带“★”的参数需求为实质性条款要求，供应商应按要求提供消防验收承诺函（自行拟定格式，但必须包含所要求承诺内容）</w:t>
            </w:r>
          </w:p>
        </w:tc>
        <w:tc>
          <w:tcPr>
            <w:tcW w:type="dxa" w:w="1661"/>
          </w:tcPr>
          <w:p>
            <w:pPr>
              <w:pStyle w:val="null3"/>
            </w:pPr>
            <w:r>
              <w:rPr>
                <w:rFonts w:ascii="仿宋_GB2312" w:hAnsi="仿宋_GB2312" w:cs="仿宋_GB2312" w:eastAsia="仿宋_GB2312"/>
              </w:rPr>
              <w:t>响应文件封面 2、符合性评审内容.docx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供应商提供自2022年6月1日至本项目响应文件递交截止时间前完成的类似业绩证明材料，提供3个得基本分4分，每增加1项得2分，最多得10分。未提供的不得分。 评审依据：提供施工合同的复印件（证明材料包括中标通知书、合同和竣工资料复印件，原件备查），时间以合同签订时间为准。 注：类似业绩证明材料意指消防设施施工、维修或改造相关业绩。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3、企业业绩.docx</w:t>
            </w:r>
          </w:p>
        </w:tc>
      </w:tr>
      <w:tr>
        <w:tc>
          <w:tcPr>
            <w:tcW w:type="dxa" w:w="831"/>
            <w:vMerge/>
          </w:tcPr>
          <w:p/>
        </w:tc>
        <w:tc>
          <w:tcPr>
            <w:tcW w:type="dxa" w:w="1661"/>
          </w:tcPr>
          <w:p>
            <w:pPr>
              <w:pStyle w:val="null3"/>
            </w:pPr>
            <w:r>
              <w:rPr>
                <w:rFonts w:ascii="仿宋_GB2312" w:hAnsi="仿宋_GB2312" w:cs="仿宋_GB2312" w:eastAsia="仿宋_GB2312"/>
              </w:rPr>
              <w:t>拟派项目经理1</w:t>
            </w:r>
          </w:p>
        </w:tc>
        <w:tc>
          <w:tcPr>
            <w:tcW w:type="dxa" w:w="2492"/>
          </w:tcPr>
          <w:p>
            <w:pPr>
              <w:pStyle w:val="null3"/>
            </w:pPr>
            <w:r>
              <w:rPr>
                <w:rFonts w:ascii="仿宋_GB2312" w:hAnsi="仿宋_GB2312" w:cs="仿宋_GB2312" w:eastAsia="仿宋_GB2312"/>
              </w:rPr>
              <w:t>拟派项目经理的职称： 拟派项目经理具备高级及以上职称证书，得4分，中级职称证书得1分，其余情况不得分。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4、项目经理1-2.docx</w:t>
            </w:r>
          </w:p>
        </w:tc>
      </w:tr>
      <w:tr>
        <w:tc>
          <w:tcPr>
            <w:tcW w:type="dxa" w:w="831"/>
            <w:vMerge/>
          </w:tcPr>
          <w:p/>
        </w:tc>
        <w:tc>
          <w:tcPr>
            <w:tcW w:type="dxa" w:w="1661"/>
          </w:tcPr>
          <w:p>
            <w:pPr>
              <w:pStyle w:val="null3"/>
            </w:pPr>
            <w:r>
              <w:rPr>
                <w:rFonts w:ascii="仿宋_GB2312" w:hAnsi="仿宋_GB2312" w:cs="仿宋_GB2312" w:eastAsia="仿宋_GB2312"/>
              </w:rPr>
              <w:t>拟派项目经理2</w:t>
            </w:r>
          </w:p>
        </w:tc>
        <w:tc>
          <w:tcPr>
            <w:tcW w:type="dxa" w:w="2492"/>
          </w:tcPr>
          <w:p>
            <w:pPr>
              <w:pStyle w:val="null3"/>
            </w:pPr>
            <w:r>
              <w:rPr>
                <w:rFonts w:ascii="仿宋_GB2312" w:hAnsi="仿宋_GB2312" w:cs="仿宋_GB2312" w:eastAsia="仿宋_GB2312"/>
              </w:rPr>
              <w:t>拟派项目经理学历： 拟派项目经理具备本科及以上学历得2分，具备专科学历得1分；其余情况不得分。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4、项目经理1-2.docx</w:t>
            </w:r>
          </w:p>
        </w:tc>
      </w:tr>
      <w:tr>
        <w:tc>
          <w:tcPr>
            <w:tcW w:type="dxa" w:w="831"/>
            <w:vMerge/>
          </w:tcPr>
          <w:p/>
        </w:tc>
        <w:tc>
          <w:tcPr>
            <w:tcW w:type="dxa" w:w="1661"/>
          </w:tcPr>
          <w:p>
            <w:pPr>
              <w:pStyle w:val="null3"/>
            </w:pPr>
            <w:r>
              <w:rPr>
                <w:rFonts w:ascii="仿宋_GB2312" w:hAnsi="仿宋_GB2312" w:cs="仿宋_GB2312" w:eastAsia="仿宋_GB2312"/>
              </w:rPr>
              <w:t>拟派技术负责人1</w:t>
            </w:r>
          </w:p>
        </w:tc>
        <w:tc>
          <w:tcPr>
            <w:tcW w:type="dxa" w:w="2492"/>
          </w:tcPr>
          <w:p>
            <w:pPr>
              <w:pStyle w:val="null3"/>
            </w:pPr>
            <w:r>
              <w:rPr>
                <w:rFonts w:ascii="仿宋_GB2312" w:hAnsi="仿宋_GB2312" w:cs="仿宋_GB2312" w:eastAsia="仿宋_GB2312"/>
              </w:rPr>
              <w:t>拟派技术负责人的职称： 拟派技术负责人具备高级及以上职称证书，得3分，中级职称证书得1分，其余情况不得分。 评审依据：评审时以供应商提供的加盖供应商公章的拟派技术负责人最高职称证书的扫描件或复印件为准，提供多个职称证明材料的，以最高职称材料为准，未提供的不得分。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5、拟派技术负责人1-2.docx</w:t>
            </w:r>
          </w:p>
        </w:tc>
      </w:tr>
      <w:tr>
        <w:tc>
          <w:tcPr>
            <w:tcW w:type="dxa" w:w="831"/>
            <w:vMerge/>
          </w:tcPr>
          <w:p/>
        </w:tc>
        <w:tc>
          <w:tcPr>
            <w:tcW w:type="dxa" w:w="1661"/>
          </w:tcPr>
          <w:p>
            <w:pPr>
              <w:pStyle w:val="null3"/>
            </w:pPr>
            <w:r>
              <w:rPr>
                <w:rFonts w:ascii="仿宋_GB2312" w:hAnsi="仿宋_GB2312" w:cs="仿宋_GB2312" w:eastAsia="仿宋_GB2312"/>
              </w:rPr>
              <w:t>拟派技术负责人2</w:t>
            </w:r>
          </w:p>
        </w:tc>
        <w:tc>
          <w:tcPr>
            <w:tcW w:type="dxa" w:w="2492"/>
          </w:tcPr>
          <w:p>
            <w:pPr>
              <w:pStyle w:val="null3"/>
            </w:pPr>
            <w:r>
              <w:rPr>
                <w:rFonts w:ascii="仿宋_GB2312" w:hAnsi="仿宋_GB2312" w:cs="仿宋_GB2312" w:eastAsia="仿宋_GB2312"/>
              </w:rPr>
              <w:t>拟派技术负责人学历： 拟派技术负责人具备本科及以上学历得2分，具备专科学历得1分；其余情况不得分。 评审依据：以供应商提供的加盖公章的拟派技术负责人学历证书的扫描件或复印件为准，提供多个学历或学位证书的，以最高学历为准，未提供的不得分。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5、拟派技术负责人1-2.docx</w:t>
            </w:r>
          </w:p>
        </w:tc>
      </w:tr>
      <w:tr>
        <w:tc>
          <w:tcPr>
            <w:tcW w:type="dxa" w:w="831"/>
            <w:vMerge/>
          </w:tcPr>
          <w:p/>
        </w:tc>
        <w:tc>
          <w:tcPr>
            <w:tcW w:type="dxa" w:w="1661"/>
          </w:tcPr>
          <w:p>
            <w:pPr>
              <w:pStyle w:val="null3"/>
            </w:pPr>
            <w:r>
              <w:rPr>
                <w:rFonts w:ascii="仿宋_GB2312" w:hAnsi="仿宋_GB2312" w:cs="仿宋_GB2312" w:eastAsia="仿宋_GB2312"/>
              </w:rPr>
              <w:t>项目部人员构成</w:t>
            </w:r>
          </w:p>
        </w:tc>
        <w:tc>
          <w:tcPr>
            <w:tcW w:type="dxa" w:w="2492"/>
          </w:tcPr>
          <w:p>
            <w:pPr>
              <w:pStyle w:val="null3"/>
            </w:pPr>
            <w:r>
              <w:rPr>
                <w:rFonts w:ascii="仿宋_GB2312" w:hAnsi="仿宋_GB2312" w:cs="仿宋_GB2312" w:eastAsia="仿宋_GB2312"/>
              </w:rPr>
              <w:t>拟派项目部其它管理人员，除拟派项目经理及拟派项目技术负责人以外，至少应包括：施工员1人、资料员1人、材料员1人、安全员1人、质量员1人。 1.满足以上全部要求的得3分，任意一项不满足要求的得0分； 评审依据：提供人员社保、身份证和相应专业职称证书或注册证书，其中安全员必须提供安全员C证，评审时以供应商提供加盖公章的证书复印件为准，未提供以上资料的相应人员不予认定和赋分。 2.在满足上述基本人员配备的基础上每增加1位专业管理人员的加1分，最多加2分； 评审依据：提供人员社保、身份证和相应专业职称证书或注册证书，其中安全员必须提供安全员C证，评审时以供应商提供加盖公章的证书复印件为准，未提供以上资料的相应人员不予认定和赋分。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6、项目部人员构成.docx</w:t>
            </w:r>
          </w:p>
        </w:tc>
      </w:tr>
      <w:tr>
        <w:tc>
          <w:tcPr>
            <w:tcW w:type="dxa" w:w="831"/>
            <w:vMerge/>
          </w:tcPr>
          <w:p/>
        </w:tc>
        <w:tc>
          <w:tcPr>
            <w:tcW w:type="dxa" w:w="1661"/>
          </w:tcPr>
          <w:p>
            <w:pPr>
              <w:pStyle w:val="null3"/>
            </w:pPr>
            <w:r>
              <w:rPr>
                <w:rFonts w:ascii="仿宋_GB2312" w:hAnsi="仿宋_GB2312" w:cs="仿宋_GB2312" w:eastAsia="仿宋_GB2312"/>
              </w:rPr>
              <w:t>施工组织设计1（总体实施方案）</w:t>
            </w:r>
          </w:p>
        </w:tc>
        <w:tc>
          <w:tcPr>
            <w:tcW w:type="dxa" w:w="2492"/>
          </w:tcPr>
          <w:p>
            <w:pPr>
              <w:pStyle w:val="null3"/>
            </w:pPr>
            <w:r>
              <w:rPr>
                <w:rFonts w:ascii="仿宋_GB2312" w:hAnsi="仿宋_GB2312" w:cs="仿宋_GB2312" w:eastAsia="仿宋_GB2312"/>
              </w:rPr>
              <w:t>根据供应商针对项目实施过程中的总体实施方案进行评审。 总体实施方案目标设定合理、实施范围全面、实施步骤清晰有序，整体部署具有逻辑性和连贯性的得4-5分； 总体实施方案目标设定、实施范围基本满足本项目需求、有明确的实施步骤，整体部署能保障项目的实施的得2-4分； 总体实施方案目标设定不清晰明确、实施范围考虑不足、实施步骤粗略，整体部署思路不全面的得0-2分；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7、施工组织设计方案1-6.docx</w:t>
            </w:r>
          </w:p>
        </w:tc>
      </w:tr>
      <w:tr>
        <w:tc>
          <w:tcPr>
            <w:tcW w:type="dxa" w:w="831"/>
            <w:vMerge/>
          </w:tcPr>
          <w:p/>
        </w:tc>
        <w:tc>
          <w:tcPr>
            <w:tcW w:type="dxa" w:w="1661"/>
          </w:tcPr>
          <w:p>
            <w:pPr>
              <w:pStyle w:val="null3"/>
            </w:pPr>
            <w:r>
              <w:rPr>
                <w:rFonts w:ascii="仿宋_GB2312" w:hAnsi="仿宋_GB2312" w:cs="仿宋_GB2312" w:eastAsia="仿宋_GB2312"/>
              </w:rPr>
              <w:t>施工组织设计2（确保工期的方案及措施）</w:t>
            </w:r>
          </w:p>
        </w:tc>
        <w:tc>
          <w:tcPr>
            <w:tcW w:type="dxa" w:w="2492"/>
          </w:tcPr>
          <w:p>
            <w:pPr>
              <w:pStyle w:val="null3"/>
            </w:pPr>
            <w:r>
              <w:rPr>
                <w:rFonts w:ascii="仿宋_GB2312" w:hAnsi="仿宋_GB2312" w:cs="仿宋_GB2312" w:eastAsia="仿宋_GB2312"/>
              </w:rPr>
              <w:t>根据供应商针对项目工期紧、技术标准高，制定全面、科学的实施方案和技术组织措施以及确保工程按期按质完成措施进行评审。 方案及措施时间进度安排合理、有明确的技术标准，完全满足本项目需求的得6-8分； 方案及措施有时间进度安排及技术标准，但考虑不够全面，基本满足本项目需求的得2-6分； 方案及措施中缺少时间进度安排或技术标准，整体方案粗略，不能保证本项目顺利实施的得0-2分；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7、施工组织设计方案1-6.docx</w:t>
            </w:r>
          </w:p>
        </w:tc>
      </w:tr>
      <w:tr>
        <w:tc>
          <w:tcPr>
            <w:tcW w:type="dxa" w:w="831"/>
            <w:vMerge/>
          </w:tcPr>
          <w:p/>
        </w:tc>
        <w:tc>
          <w:tcPr>
            <w:tcW w:type="dxa" w:w="1661"/>
          </w:tcPr>
          <w:p>
            <w:pPr>
              <w:pStyle w:val="null3"/>
            </w:pPr>
            <w:r>
              <w:rPr>
                <w:rFonts w:ascii="仿宋_GB2312" w:hAnsi="仿宋_GB2312" w:cs="仿宋_GB2312" w:eastAsia="仿宋_GB2312"/>
              </w:rPr>
              <w:t>施工组织设计3（优化方案及技术措施）</w:t>
            </w:r>
          </w:p>
        </w:tc>
        <w:tc>
          <w:tcPr>
            <w:tcW w:type="dxa" w:w="2492"/>
          </w:tcPr>
          <w:p>
            <w:pPr>
              <w:pStyle w:val="null3"/>
            </w:pPr>
            <w:r>
              <w:rPr>
                <w:rFonts w:ascii="仿宋_GB2312" w:hAnsi="仿宋_GB2312" w:cs="仿宋_GB2312" w:eastAsia="仿宋_GB2312"/>
              </w:rPr>
              <w:t>根据供应商分析本项目进度目标的关键节点，同时针对关键节点、复杂环节给出优化方案及技术措施进行评审。 方案及措施对于关键节点有全面详细的分析，对于本项目关键节点、复杂环节给出了合理可行且针对性强的优化方案的得4-5分； 方案及措施对于关键节点有分析内容，对于本项目的关键节点、复杂环节给出了基本的优化方案，但内容较为粗略笼统的得2-4分； 方案及措施对于关键节点缺少分析内容或内容简略，对于本项目的关键节点、复杂环节没有明确的优化方案的得0-2分；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7、施工组织设计方案1-6.docx</w:t>
            </w:r>
          </w:p>
        </w:tc>
      </w:tr>
      <w:tr>
        <w:tc>
          <w:tcPr>
            <w:tcW w:type="dxa" w:w="831"/>
            <w:vMerge/>
          </w:tcPr>
          <w:p/>
        </w:tc>
        <w:tc>
          <w:tcPr>
            <w:tcW w:type="dxa" w:w="1661"/>
          </w:tcPr>
          <w:p>
            <w:pPr>
              <w:pStyle w:val="null3"/>
            </w:pPr>
            <w:r>
              <w:rPr>
                <w:rFonts w:ascii="仿宋_GB2312" w:hAnsi="仿宋_GB2312" w:cs="仿宋_GB2312" w:eastAsia="仿宋_GB2312"/>
              </w:rPr>
              <w:t>施工组织设计4（质量保证措施）</w:t>
            </w:r>
          </w:p>
        </w:tc>
        <w:tc>
          <w:tcPr>
            <w:tcW w:type="dxa" w:w="2492"/>
          </w:tcPr>
          <w:p>
            <w:pPr>
              <w:pStyle w:val="null3"/>
            </w:pPr>
            <w:r>
              <w:rPr>
                <w:rFonts w:ascii="仿宋_GB2312" w:hAnsi="仿宋_GB2312" w:cs="仿宋_GB2312" w:eastAsia="仿宋_GB2312"/>
              </w:rPr>
              <w:t>根据供应商针对本项目特点制定切实可行的质量控制目标和保证措施进行评审。 措施中有严格的质量标准要求、对于施工过程中有严格的质量监督制度及发现和纠正质量问题的具体方案的得6-8分； 措施中有质量标准要求、有质量监督制度及发现和纠正质量问题的方案，但整体内容不够详细且粗略，与本项目实际情况有差异的得2-6分； 措施中质量标准要求、质量监督制度、发现和纠正质量问题的方案有缺项，且整体内容简略的得0-2分；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7、施工组织设计方案1-6.docx</w:t>
            </w:r>
          </w:p>
        </w:tc>
      </w:tr>
      <w:tr>
        <w:tc>
          <w:tcPr>
            <w:tcW w:type="dxa" w:w="831"/>
            <w:vMerge/>
          </w:tcPr>
          <w:p/>
        </w:tc>
        <w:tc>
          <w:tcPr>
            <w:tcW w:type="dxa" w:w="1661"/>
          </w:tcPr>
          <w:p>
            <w:pPr>
              <w:pStyle w:val="null3"/>
            </w:pPr>
            <w:r>
              <w:rPr>
                <w:rFonts w:ascii="仿宋_GB2312" w:hAnsi="仿宋_GB2312" w:cs="仿宋_GB2312" w:eastAsia="仿宋_GB2312"/>
              </w:rPr>
              <w:t>施工组织设计5（安全文明施工）</w:t>
            </w:r>
          </w:p>
        </w:tc>
        <w:tc>
          <w:tcPr>
            <w:tcW w:type="dxa" w:w="2492"/>
          </w:tcPr>
          <w:p>
            <w:pPr>
              <w:pStyle w:val="null3"/>
            </w:pPr>
            <w:r>
              <w:rPr>
                <w:rFonts w:ascii="仿宋_GB2312" w:hAnsi="仿宋_GB2312" w:cs="仿宋_GB2312" w:eastAsia="仿宋_GB2312"/>
              </w:rPr>
              <w:t>根据供应商提供安全生产、文明施工、环保施工、防尘降噪等保证措施及应急保证措施进行评审。 结合工程环境及特点在安全生产、文明施工、环保施工、防尘降噪方面有明确详细的保证措施，应急保障措施方案针对性及合理性强，完全满足本项目需求的得6-8分； 在安全生产、文明施工、环保施工、防尘降噪方面有保证措施，且有应急保障措施方案，但方案内容粗略，基本满足本项目需求的得2-6分； 在安全生产、文明施工、环保施工、防尘降噪方面的保证措施有缺项，或是缺少应急保障措施方案的得0-2分；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7、施工组织设计方案1-6.docx</w:t>
            </w:r>
          </w:p>
        </w:tc>
      </w:tr>
      <w:tr>
        <w:tc>
          <w:tcPr>
            <w:tcW w:type="dxa" w:w="831"/>
            <w:vMerge/>
          </w:tcPr>
          <w:p/>
        </w:tc>
        <w:tc>
          <w:tcPr>
            <w:tcW w:type="dxa" w:w="1661"/>
          </w:tcPr>
          <w:p>
            <w:pPr>
              <w:pStyle w:val="null3"/>
            </w:pPr>
            <w:r>
              <w:rPr>
                <w:rFonts w:ascii="仿宋_GB2312" w:hAnsi="仿宋_GB2312" w:cs="仿宋_GB2312" w:eastAsia="仿宋_GB2312"/>
              </w:rPr>
              <w:t>施工组织设计6（售后服务及质保期服务承诺）</w:t>
            </w:r>
          </w:p>
        </w:tc>
        <w:tc>
          <w:tcPr>
            <w:tcW w:type="dxa" w:w="2492"/>
          </w:tcPr>
          <w:p>
            <w:pPr>
              <w:pStyle w:val="null3"/>
            </w:pPr>
            <w:r>
              <w:rPr>
                <w:rFonts w:ascii="仿宋_GB2312" w:hAnsi="仿宋_GB2312" w:cs="仿宋_GB2312" w:eastAsia="仿宋_GB2312"/>
              </w:rPr>
              <w:t>根据供应商提供满足采购文件要求的质保期服务承诺和售后服务方案进行评审。 有明确的质保期服务承诺，且方案中具备有效服务体系、服务范围、备品备件、故障解决方案、响应时间、应急处理方案、培训方案、专业技术人员保障、售后服务电话等详细完整内容的得8-10分； 有质保期服务承诺但内容简略，方案中具备有效服务体系、服务范围、备品备件、故障解决方案、响应时间、应急处理方案、培训方案、专业技术人员保障、售后服务电话等内容但内容粗略的得3-8分； 无质保期服务承诺或是方案中缺少有效服务体系、服务范围、备品备件、故障解决方案、响应时间、应急处理方案、培训方案、专业技术人员保障、售后服务电话等部分内容的得0-3分； 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7、施工组织设计方案1-6.docx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详见附件：1、供应商应提交的资格审查资料.docx</w:t>
      </w:r>
    </w:p>
    <w:p>
      <w:pPr>
        <w:pStyle w:val="null3"/>
        <w:ind w:firstLine="960"/>
      </w:pPr>
      <w:r>
        <w:rPr>
          <w:rFonts w:ascii="仿宋_GB2312" w:hAnsi="仿宋_GB2312" w:cs="仿宋_GB2312" w:eastAsia="仿宋_GB2312"/>
        </w:rPr>
        <w:t>详见附件：2、符合性评审内容.docx</w:t>
      </w:r>
    </w:p>
    <w:p>
      <w:pPr>
        <w:pStyle w:val="null3"/>
        <w:ind w:firstLine="960"/>
      </w:pPr>
      <w:r>
        <w:rPr>
          <w:rFonts w:ascii="仿宋_GB2312" w:hAnsi="仿宋_GB2312" w:cs="仿宋_GB2312" w:eastAsia="仿宋_GB2312"/>
        </w:rPr>
        <w:t>详见附件：3、企业业绩.docx</w:t>
      </w:r>
    </w:p>
    <w:p>
      <w:pPr>
        <w:pStyle w:val="null3"/>
        <w:ind w:firstLine="960"/>
      </w:pPr>
      <w:r>
        <w:rPr>
          <w:rFonts w:ascii="仿宋_GB2312" w:hAnsi="仿宋_GB2312" w:cs="仿宋_GB2312" w:eastAsia="仿宋_GB2312"/>
        </w:rPr>
        <w:t>详见附件：4、项目经理1-2.docx</w:t>
      </w:r>
    </w:p>
    <w:p>
      <w:pPr>
        <w:pStyle w:val="null3"/>
        <w:ind w:firstLine="960"/>
      </w:pPr>
      <w:r>
        <w:rPr>
          <w:rFonts w:ascii="仿宋_GB2312" w:hAnsi="仿宋_GB2312" w:cs="仿宋_GB2312" w:eastAsia="仿宋_GB2312"/>
        </w:rPr>
        <w:t>详见附件：5、拟派技术负责人1-2.docx</w:t>
      </w:r>
    </w:p>
    <w:p>
      <w:pPr>
        <w:pStyle w:val="null3"/>
        <w:ind w:firstLine="960"/>
      </w:pPr>
      <w:r>
        <w:rPr>
          <w:rFonts w:ascii="仿宋_GB2312" w:hAnsi="仿宋_GB2312" w:cs="仿宋_GB2312" w:eastAsia="仿宋_GB2312"/>
        </w:rPr>
        <w:t>详见附件：6、项目部人员构成.docx</w:t>
      </w:r>
    </w:p>
    <w:p>
      <w:pPr>
        <w:pStyle w:val="null3"/>
        <w:ind w:firstLine="960"/>
      </w:pPr>
      <w:r>
        <w:rPr>
          <w:rFonts w:ascii="仿宋_GB2312" w:hAnsi="仿宋_GB2312" w:cs="仿宋_GB2312" w:eastAsia="仿宋_GB2312"/>
        </w:rPr>
        <w:t>详见附件：7、施工组织设计方案1-6.docx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详见附件：郭杜校区消防施工整改（重点项目）合同.docx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