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6A14F">
      <w:pPr>
        <w:pStyle w:val="3"/>
        <w:jc w:val="center"/>
        <w:rPr>
          <w:rFonts w:ascii="仿宋" w:hAnsi="仿宋" w:eastAsia="仿宋" w:cs="仿宋"/>
          <w:b/>
          <w:bCs/>
          <w:sz w:val="24"/>
          <w:szCs w:val="24"/>
          <w:highlight w:val="none"/>
        </w:rPr>
      </w:pPr>
      <w:r>
        <w:rPr>
          <w:rFonts w:hint="eastAsia" w:ascii="仿宋" w:hAnsi="仿宋" w:eastAsia="仿宋" w:cs="仿宋"/>
          <w:b/>
          <w:bCs/>
          <w:sz w:val="24"/>
          <w:szCs w:val="24"/>
          <w:highlight w:val="none"/>
        </w:rPr>
        <w:t>商务及合同主要条款</w:t>
      </w:r>
    </w:p>
    <w:tbl>
      <w:tblPr>
        <w:tblStyle w:val="8"/>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73A81D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46D75C03">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条款号</w:t>
            </w:r>
          </w:p>
        </w:tc>
        <w:tc>
          <w:tcPr>
            <w:tcW w:w="7301" w:type="dxa"/>
            <w:vAlign w:val="center"/>
          </w:tcPr>
          <w:p w14:paraId="75A702D6">
            <w:pPr>
              <w:adjustRightInd w:val="0"/>
              <w:spacing w:line="500" w:lineRule="exact"/>
              <w:jc w:val="center"/>
              <w:rPr>
                <w:rFonts w:ascii="仿宋" w:hAnsi="仿宋" w:eastAsia="仿宋" w:cs="仿宋"/>
                <w:sz w:val="24"/>
                <w:szCs w:val="24"/>
                <w:highlight w:val="none"/>
              </w:rPr>
            </w:pPr>
            <w:r>
              <w:rPr>
                <w:rFonts w:hint="eastAsia" w:ascii="仿宋" w:hAnsi="仿宋" w:eastAsia="仿宋" w:cs="仿宋"/>
                <w:b/>
                <w:bCs/>
                <w:sz w:val="24"/>
                <w:szCs w:val="24"/>
                <w:highlight w:val="none"/>
              </w:rPr>
              <w:t>内      容</w:t>
            </w:r>
          </w:p>
        </w:tc>
      </w:tr>
      <w:tr w14:paraId="41C09A2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50D5F12C">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1</w:t>
            </w:r>
          </w:p>
        </w:tc>
        <w:tc>
          <w:tcPr>
            <w:tcW w:w="7301" w:type="dxa"/>
            <w:vAlign w:val="center"/>
          </w:tcPr>
          <w:p w14:paraId="79B9925A">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服务地点：</w:t>
            </w:r>
            <w:r>
              <w:rPr>
                <w:rFonts w:hint="eastAsia" w:ascii="仿宋" w:hAnsi="仿宋" w:eastAsia="仿宋" w:cs="仿宋"/>
                <w:sz w:val="24"/>
                <w:szCs w:val="24"/>
                <w:highlight w:val="none"/>
                <w:lang w:val="en-US" w:eastAsia="zh-CN"/>
              </w:rPr>
              <w:t>陕西省西安市</w:t>
            </w:r>
            <w:r>
              <w:rPr>
                <w:rFonts w:hint="eastAsia" w:ascii="仿宋" w:hAnsi="仿宋" w:eastAsia="仿宋" w:cs="仿宋"/>
                <w:sz w:val="24"/>
                <w:szCs w:val="24"/>
                <w:highlight w:val="none"/>
              </w:rPr>
              <w:t>甲方指定地点</w:t>
            </w:r>
          </w:p>
        </w:tc>
      </w:tr>
      <w:tr w14:paraId="391AB01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533E503B">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2</w:t>
            </w:r>
          </w:p>
        </w:tc>
        <w:tc>
          <w:tcPr>
            <w:tcW w:w="7301" w:type="dxa"/>
            <w:vAlign w:val="center"/>
          </w:tcPr>
          <w:p w14:paraId="0B1C7FD6">
            <w:pPr>
              <w:adjustRightInd w:val="0"/>
              <w:spacing w:line="500" w:lineRule="exac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rPr>
              <w:t>服务期限：本项目服务期限为一年，自合同签订之日起。</w:t>
            </w:r>
          </w:p>
        </w:tc>
      </w:tr>
      <w:tr w14:paraId="3E2C655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065F841D">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3</w:t>
            </w:r>
          </w:p>
        </w:tc>
        <w:tc>
          <w:tcPr>
            <w:tcW w:w="7301" w:type="dxa"/>
            <w:vAlign w:val="center"/>
          </w:tcPr>
          <w:p w14:paraId="66A1A732">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付款程序及付款方式：</w:t>
            </w:r>
          </w:p>
          <w:p w14:paraId="3D588525">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（1）银行转账。</w:t>
            </w:r>
          </w:p>
          <w:p w14:paraId="2DD02E43">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（2）合同签订后乙方必须提供相应发票给甲方，收到乙方的发票后14日内，甲方向乙方支付合同总金额的100%。</w:t>
            </w:r>
          </w:p>
          <w:p w14:paraId="5B1BDF01">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 xml:space="preserve">乙方开户行：                  </w:t>
            </w:r>
          </w:p>
          <w:p w14:paraId="6E5AAA50">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 xml:space="preserve">乙方户  名：                  </w:t>
            </w:r>
          </w:p>
          <w:p w14:paraId="24F33E16">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 xml:space="preserve">乙方账  号：                   </w:t>
            </w:r>
          </w:p>
        </w:tc>
      </w:tr>
      <w:tr w14:paraId="7FFABF8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3E8CEC61">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4</w:t>
            </w:r>
          </w:p>
        </w:tc>
        <w:tc>
          <w:tcPr>
            <w:tcW w:w="7301" w:type="dxa"/>
            <w:vAlign w:val="center"/>
          </w:tcPr>
          <w:p w14:paraId="3613534B">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知识产权：</w:t>
            </w:r>
          </w:p>
          <w:p w14:paraId="4A371D0C">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43F916DB">
      <w:pPr>
        <w:pStyle w:val="10"/>
        <w:spacing w:line="360" w:lineRule="auto"/>
        <w:rPr>
          <w:rFonts w:hint="default" w:ascii="仿宋" w:hAnsi="仿宋" w:eastAsia="仿宋" w:cs="仿宋"/>
          <w:sz w:val="24"/>
          <w:szCs w:val="24"/>
          <w:highlight w:val="none"/>
        </w:rPr>
      </w:pPr>
    </w:p>
    <w:p w14:paraId="3A622B7F">
      <w:pPr>
        <w:rPr>
          <w:rFonts w:ascii="仿宋" w:hAnsi="仿宋" w:eastAsia="仿宋" w:cs="仿宋_GB2312"/>
          <w:sz w:val="24"/>
          <w:szCs w:val="24"/>
          <w:highlight w:val="none"/>
        </w:rPr>
      </w:pPr>
      <w:r>
        <w:rPr>
          <w:rFonts w:hint="eastAsia" w:ascii="仿宋" w:hAnsi="仿宋" w:eastAsia="仿宋" w:cs="仿宋_GB2312"/>
          <w:sz w:val="24"/>
          <w:szCs w:val="24"/>
          <w:highlight w:val="none"/>
        </w:rPr>
        <w:br w:type="page"/>
      </w:r>
    </w:p>
    <w:p w14:paraId="3AC63C98">
      <w:pPr>
        <w:jc w:val="left"/>
        <w:rPr>
          <w:rFonts w:ascii="仿宋" w:hAnsi="仿宋" w:eastAsia="仿宋" w:cs="仿宋"/>
          <w:b/>
          <w:bCs/>
          <w:sz w:val="24"/>
          <w:szCs w:val="24"/>
          <w:highlight w:val="none"/>
        </w:rPr>
      </w:pPr>
      <w:r>
        <w:rPr>
          <w:rFonts w:hint="eastAsia" w:ascii="仿宋" w:hAnsi="仿宋" w:eastAsia="仿宋" w:cs="仿宋"/>
          <w:b/>
          <w:bCs/>
          <w:sz w:val="24"/>
          <w:szCs w:val="24"/>
          <w:highlight w:val="none"/>
        </w:rPr>
        <w:t>政府采购合同                        合同编号：</w:t>
      </w:r>
    </w:p>
    <w:p w14:paraId="59310F06">
      <w:pPr>
        <w:pStyle w:val="2"/>
        <w:rPr>
          <w:rFonts w:ascii="仿宋" w:hAnsi="仿宋" w:eastAsia="仿宋" w:cs="仿宋"/>
          <w:b/>
          <w:bCs/>
          <w:sz w:val="24"/>
          <w:szCs w:val="24"/>
          <w:highlight w:val="none"/>
        </w:rPr>
      </w:pPr>
    </w:p>
    <w:p w14:paraId="153224BA">
      <w:pPr>
        <w:pStyle w:val="2"/>
        <w:rPr>
          <w:rFonts w:ascii="仿宋" w:hAnsi="仿宋" w:eastAsia="仿宋" w:cs="仿宋"/>
          <w:b/>
          <w:bCs/>
          <w:sz w:val="24"/>
          <w:szCs w:val="24"/>
          <w:highlight w:val="none"/>
        </w:rPr>
      </w:pPr>
    </w:p>
    <w:p w14:paraId="38905DB4">
      <w:pPr>
        <w:pStyle w:val="2"/>
        <w:rPr>
          <w:rFonts w:ascii="仿宋" w:hAnsi="仿宋" w:eastAsia="仿宋" w:cs="仿宋"/>
          <w:sz w:val="24"/>
          <w:szCs w:val="24"/>
          <w:highlight w:val="none"/>
        </w:rPr>
      </w:pPr>
    </w:p>
    <w:p w14:paraId="6C500D96">
      <w:pPr>
        <w:jc w:val="center"/>
        <w:rPr>
          <w:rFonts w:hint="eastAsia" w:ascii="仿宋" w:hAnsi="仿宋" w:eastAsia="仿宋" w:cs="仿宋"/>
          <w:b/>
          <w:bCs/>
          <w:sz w:val="40"/>
          <w:szCs w:val="40"/>
          <w:highlight w:val="none"/>
        </w:rPr>
      </w:pPr>
    </w:p>
    <w:p w14:paraId="66983D5E">
      <w:pPr>
        <w:jc w:val="center"/>
        <w:rPr>
          <w:rFonts w:hint="eastAsia" w:ascii="仿宋" w:hAnsi="仿宋" w:eastAsia="仿宋" w:cs="仿宋"/>
          <w:b/>
          <w:bCs/>
          <w:sz w:val="40"/>
          <w:szCs w:val="40"/>
          <w:highlight w:val="none"/>
        </w:rPr>
      </w:pPr>
    </w:p>
    <w:p w14:paraId="2CB2ABBA">
      <w:pPr>
        <w:jc w:val="center"/>
        <w:rPr>
          <w:rFonts w:hint="eastAsia" w:ascii="仿宋" w:hAnsi="仿宋" w:eastAsia="仿宋" w:cs="仿宋"/>
          <w:b/>
          <w:bCs/>
          <w:sz w:val="40"/>
          <w:szCs w:val="40"/>
          <w:highlight w:val="none"/>
        </w:rPr>
      </w:pPr>
    </w:p>
    <w:p w14:paraId="053677E5">
      <w:pPr>
        <w:jc w:val="center"/>
        <w:rPr>
          <w:rFonts w:hint="eastAsia" w:ascii="仿宋" w:hAnsi="仿宋" w:eastAsia="仿宋" w:cs="仿宋"/>
          <w:b/>
          <w:bCs/>
          <w:sz w:val="40"/>
          <w:szCs w:val="40"/>
          <w:highlight w:val="none"/>
        </w:rPr>
      </w:pPr>
    </w:p>
    <w:p w14:paraId="09B55967">
      <w:pPr>
        <w:jc w:val="center"/>
        <w:rPr>
          <w:rFonts w:ascii="仿宋" w:hAnsi="仿宋" w:eastAsia="仿宋" w:cs="仿宋"/>
          <w:b/>
          <w:bCs/>
          <w:sz w:val="40"/>
          <w:szCs w:val="40"/>
          <w:highlight w:val="none"/>
        </w:rPr>
      </w:pPr>
      <w:r>
        <w:rPr>
          <w:rFonts w:hint="eastAsia" w:ascii="仿宋" w:hAnsi="仿宋" w:eastAsia="仿宋" w:cs="仿宋"/>
          <w:b/>
          <w:bCs/>
          <w:sz w:val="40"/>
          <w:szCs w:val="40"/>
          <w:highlight w:val="none"/>
        </w:rPr>
        <w:t>采购项目</w:t>
      </w:r>
    </w:p>
    <w:p w14:paraId="725E356F">
      <w:pPr>
        <w:rPr>
          <w:rFonts w:ascii="仿宋" w:hAnsi="仿宋" w:eastAsia="仿宋" w:cs="仿宋"/>
          <w:sz w:val="24"/>
          <w:szCs w:val="24"/>
          <w:highlight w:val="none"/>
        </w:rPr>
      </w:pPr>
    </w:p>
    <w:p w14:paraId="407FDB5A">
      <w:pPr>
        <w:rPr>
          <w:rFonts w:ascii="仿宋" w:hAnsi="仿宋" w:eastAsia="仿宋" w:cs="仿宋"/>
          <w:sz w:val="24"/>
          <w:szCs w:val="24"/>
          <w:highlight w:val="none"/>
        </w:rPr>
      </w:pPr>
    </w:p>
    <w:p w14:paraId="666EE904">
      <w:pPr>
        <w:pStyle w:val="2"/>
        <w:rPr>
          <w:rFonts w:ascii="仿宋" w:hAnsi="仿宋" w:eastAsia="仿宋" w:cs="仿宋"/>
          <w:sz w:val="24"/>
          <w:szCs w:val="24"/>
          <w:highlight w:val="none"/>
        </w:rPr>
      </w:pPr>
    </w:p>
    <w:p w14:paraId="6912CFD7">
      <w:pPr>
        <w:pStyle w:val="2"/>
        <w:rPr>
          <w:rFonts w:ascii="仿宋" w:hAnsi="仿宋" w:eastAsia="仿宋" w:cs="仿宋"/>
          <w:sz w:val="24"/>
          <w:szCs w:val="24"/>
          <w:highlight w:val="none"/>
        </w:rPr>
      </w:pPr>
    </w:p>
    <w:p w14:paraId="6223CD7A">
      <w:pPr>
        <w:rPr>
          <w:rFonts w:ascii="仿宋" w:hAnsi="仿宋" w:eastAsia="仿宋" w:cs="仿宋"/>
          <w:sz w:val="24"/>
          <w:szCs w:val="24"/>
          <w:highlight w:val="none"/>
        </w:rPr>
      </w:pPr>
    </w:p>
    <w:p w14:paraId="25B79A76">
      <w:pPr>
        <w:rPr>
          <w:rFonts w:ascii="仿宋" w:hAnsi="仿宋" w:eastAsia="仿宋" w:cs="仿宋"/>
          <w:sz w:val="24"/>
          <w:szCs w:val="24"/>
          <w:highlight w:val="none"/>
        </w:rPr>
      </w:pPr>
    </w:p>
    <w:p w14:paraId="0ECA6587">
      <w:pPr>
        <w:jc w:val="center"/>
        <w:rPr>
          <w:rFonts w:ascii="仿宋" w:hAnsi="仿宋" w:eastAsia="仿宋" w:cs="仿宋"/>
          <w:b/>
          <w:sz w:val="24"/>
          <w:szCs w:val="24"/>
          <w:highlight w:val="none"/>
        </w:rPr>
      </w:pPr>
    </w:p>
    <w:p w14:paraId="677344D1">
      <w:pPr>
        <w:rPr>
          <w:rFonts w:ascii="仿宋" w:hAnsi="仿宋" w:eastAsia="仿宋" w:cs="仿宋"/>
          <w:b/>
          <w:sz w:val="24"/>
          <w:szCs w:val="24"/>
          <w:highlight w:val="none"/>
        </w:rPr>
      </w:pPr>
    </w:p>
    <w:p w14:paraId="1E0FFC2B">
      <w:pPr>
        <w:jc w:val="center"/>
        <w:rPr>
          <w:rFonts w:ascii="仿宋" w:hAnsi="仿宋" w:eastAsia="仿宋" w:cs="仿宋"/>
          <w:b/>
          <w:sz w:val="24"/>
          <w:szCs w:val="24"/>
          <w:highlight w:val="none"/>
        </w:rPr>
      </w:pPr>
    </w:p>
    <w:p w14:paraId="26ECBE63">
      <w:pPr>
        <w:rPr>
          <w:rFonts w:ascii="仿宋" w:hAnsi="仿宋" w:eastAsia="仿宋" w:cs="仿宋"/>
          <w:b/>
          <w:sz w:val="24"/>
          <w:szCs w:val="24"/>
          <w:highlight w:val="none"/>
        </w:rPr>
      </w:pPr>
    </w:p>
    <w:p w14:paraId="5B7C0D9F">
      <w:pPr>
        <w:spacing w:before="156" w:beforeLines="50" w:line="360" w:lineRule="auto"/>
        <w:rPr>
          <w:rFonts w:ascii="仿宋" w:hAnsi="仿宋" w:eastAsia="仿宋" w:cs="仿宋"/>
          <w:bCs/>
          <w:sz w:val="24"/>
          <w:szCs w:val="24"/>
          <w:highlight w:val="none"/>
        </w:rPr>
      </w:pPr>
    </w:p>
    <w:p w14:paraId="74A33B04">
      <w:pPr>
        <w:spacing w:before="156" w:beforeLines="50" w:line="360" w:lineRule="auto"/>
        <w:ind w:firstLine="1188" w:firstLineChars="493"/>
        <w:jc w:val="left"/>
        <w:rPr>
          <w:rFonts w:ascii="仿宋" w:hAnsi="仿宋" w:eastAsia="仿宋" w:cs="仿宋"/>
          <w:sz w:val="24"/>
          <w:szCs w:val="24"/>
          <w:highlight w:val="none"/>
          <w:u w:val="single"/>
        </w:rPr>
      </w:pPr>
      <w:r>
        <w:rPr>
          <w:rFonts w:hint="eastAsia" w:ascii="仿宋" w:hAnsi="仿宋" w:eastAsia="仿宋" w:cs="仿宋"/>
          <w:b/>
          <w:bCs/>
          <w:sz w:val="24"/>
          <w:szCs w:val="24"/>
          <w:highlight w:val="none"/>
        </w:rPr>
        <w:t>采购人：</w:t>
      </w:r>
    </w:p>
    <w:p w14:paraId="09E73294">
      <w:pPr>
        <w:spacing w:before="156" w:beforeLines="50" w:line="360" w:lineRule="auto"/>
        <w:ind w:firstLine="1188" w:firstLineChars="493"/>
        <w:jc w:val="left"/>
        <w:rPr>
          <w:rFonts w:ascii="仿宋" w:hAnsi="仿宋" w:eastAsia="仿宋" w:cs="仿宋"/>
          <w:b/>
          <w:bCs/>
          <w:sz w:val="24"/>
          <w:szCs w:val="24"/>
          <w:highlight w:val="none"/>
        </w:rPr>
      </w:pPr>
      <w:r>
        <w:rPr>
          <w:rFonts w:hint="eastAsia" w:ascii="仿宋" w:hAnsi="仿宋" w:eastAsia="仿宋" w:cs="仿宋"/>
          <w:b/>
          <w:bCs/>
          <w:sz w:val="24"/>
          <w:szCs w:val="24"/>
          <w:highlight w:val="none"/>
        </w:rPr>
        <w:t>供应商：</w:t>
      </w:r>
    </w:p>
    <w:p w14:paraId="3A105D1C">
      <w:pPr>
        <w:pStyle w:val="2"/>
        <w:jc w:val="center"/>
        <w:rPr>
          <w:rFonts w:ascii="仿宋" w:hAnsi="仿宋" w:eastAsia="仿宋"/>
          <w:sz w:val="24"/>
          <w:szCs w:val="24"/>
          <w:highlight w:val="none"/>
        </w:rPr>
      </w:pPr>
      <w:r>
        <w:rPr>
          <w:rFonts w:hint="eastAsia" w:ascii="仿宋" w:hAnsi="仿宋" w:eastAsia="仿宋" w:cs="仿宋"/>
          <w:b/>
          <w:bCs/>
          <w:sz w:val="24"/>
          <w:szCs w:val="24"/>
          <w:highlight w:val="none"/>
        </w:rPr>
        <w:t>二〇二五年  月</w:t>
      </w:r>
      <w:r>
        <w:rPr>
          <w:rFonts w:hint="eastAsia" w:ascii="仿宋" w:hAnsi="仿宋" w:eastAsia="仿宋" w:cs="仿宋"/>
          <w:b/>
          <w:bCs/>
          <w:sz w:val="24"/>
          <w:szCs w:val="24"/>
          <w:highlight w:val="none"/>
        </w:rPr>
        <w:br w:type="page"/>
      </w:r>
    </w:p>
    <w:p w14:paraId="4A80D298">
      <w:pPr>
        <w:jc w:val="center"/>
        <w:rPr>
          <w:rFonts w:ascii="仿宋" w:hAnsi="仿宋" w:eastAsia="仿宋" w:cs="仿宋"/>
          <w:b/>
          <w:bCs/>
          <w:sz w:val="24"/>
          <w:szCs w:val="24"/>
          <w:highlight w:val="none"/>
        </w:rPr>
      </w:pPr>
      <w:r>
        <w:rPr>
          <w:rFonts w:hint="eastAsia" w:ascii="仿宋" w:hAnsi="仿宋" w:eastAsia="仿宋" w:cs="仿宋"/>
          <w:b/>
          <w:bCs/>
          <w:sz w:val="24"/>
          <w:szCs w:val="24"/>
          <w:highlight w:val="none"/>
        </w:rPr>
        <w:t>合同主要条款</w:t>
      </w:r>
    </w:p>
    <w:p w14:paraId="5F062EB4">
      <w:pPr>
        <w:adjustRightInd w:val="0"/>
        <w:snapToGrid w:val="0"/>
        <w:spacing w:line="500" w:lineRule="exact"/>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采购人（甲方）：</w:t>
      </w:r>
      <w:r>
        <w:rPr>
          <w:rFonts w:hint="eastAsia" w:ascii="仿宋" w:hAnsi="仿宋" w:eastAsia="仿宋" w:cs="仿宋"/>
          <w:b/>
          <w:sz w:val="24"/>
          <w:szCs w:val="24"/>
          <w:highlight w:val="none"/>
          <w:u w:val="single"/>
        </w:rPr>
        <w:t>陕西省交通运行监测中心</w:t>
      </w:r>
    </w:p>
    <w:p w14:paraId="417ADCD1">
      <w:pPr>
        <w:adjustRightInd w:val="0"/>
        <w:snapToGrid w:val="0"/>
        <w:spacing w:line="500" w:lineRule="exact"/>
        <w:ind w:firstLine="482" w:firstLineChars="200"/>
        <w:rPr>
          <w:rFonts w:ascii="仿宋" w:hAnsi="仿宋" w:eastAsia="仿宋" w:cs="仿宋"/>
          <w:sz w:val="24"/>
          <w:szCs w:val="24"/>
          <w:highlight w:val="none"/>
          <w:u w:val="single"/>
        </w:rPr>
      </w:pPr>
      <w:r>
        <w:rPr>
          <w:rFonts w:hint="eastAsia" w:ascii="仿宋" w:hAnsi="仿宋" w:eastAsia="仿宋" w:cs="仿宋"/>
          <w:b/>
          <w:sz w:val="24"/>
          <w:szCs w:val="24"/>
          <w:highlight w:val="none"/>
        </w:rPr>
        <w:t>供应商（乙方）：</w:t>
      </w:r>
    </w:p>
    <w:p w14:paraId="33208EAC">
      <w:pPr>
        <w:adjustRightInd w:val="0"/>
        <w:snapToGrid w:val="0"/>
        <w:spacing w:line="500" w:lineRule="exact"/>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rPr>
        <w:t>根据《中华人民共和国民法典》及其他有关法律、法规，遵循平等、自愿、公平和诚信的原则，双方就下述项目范围与相关服务事项协商一致，订立本合同。</w:t>
      </w:r>
    </w:p>
    <w:p w14:paraId="7D543476">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一、项目概况</w:t>
      </w:r>
    </w:p>
    <w:p w14:paraId="6A02CD6D">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1.项目名称：</w:t>
      </w:r>
      <w:r>
        <w:rPr>
          <w:rFonts w:hint="eastAsia" w:ascii="仿宋" w:hAnsi="仿宋" w:eastAsia="仿宋" w:cs="仿宋"/>
          <w:sz w:val="24"/>
          <w:szCs w:val="24"/>
          <w:highlight w:val="none"/>
          <w:lang w:eastAsia="zh-CN"/>
        </w:rPr>
        <w:t>陕西省公路水路运输市场信用信息管理系统</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陕西省公路水路建设市场信用信息管理系统</w:t>
      </w:r>
      <w:r>
        <w:rPr>
          <w:rFonts w:hint="eastAsia" w:ascii="仿宋" w:hAnsi="仿宋" w:eastAsia="仿宋" w:cs="仿宋"/>
          <w:sz w:val="24"/>
          <w:szCs w:val="24"/>
          <w:highlight w:val="none"/>
        </w:rPr>
        <w:t>；</w:t>
      </w:r>
    </w:p>
    <w:p w14:paraId="5A7DEDC3">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2.项目地点：陕西省西安市；</w:t>
      </w:r>
    </w:p>
    <w:p w14:paraId="23CDD653">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二、组成本合同的文件</w:t>
      </w:r>
    </w:p>
    <w:p w14:paraId="7B40C999">
      <w:pPr>
        <w:adjustRightInd w:val="0"/>
        <w:snapToGrid w:val="0"/>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1.中标通知书（成交通知书）、政府采购招投标文件、澄清函等文件；</w:t>
      </w:r>
    </w:p>
    <w:p w14:paraId="663C84EC">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2.本合同签订后，双方依法签订的补充协议。</w:t>
      </w:r>
    </w:p>
    <w:p w14:paraId="51226077">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三、合同金额</w:t>
      </w:r>
    </w:p>
    <w:p w14:paraId="1D468742">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合同金额（大写）：（¥</w:t>
      </w:r>
      <w:r>
        <w:rPr>
          <w:rFonts w:hint="eastAsia" w:ascii="仿宋" w:hAnsi="仿宋" w:eastAsia="仿宋" w:cs="仿宋"/>
          <w:sz w:val="24"/>
          <w:szCs w:val="24"/>
          <w:highlight w:val="none"/>
          <w:u w:val="single"/>
        </w:rPr>
        <w:t xml:space="preserve">            元</w:t>
      </w:r>
      <w:r>
        <w:rPr>
          <w:rFonts w:hint="eastAsia" w:ascii="仿宋" w:hAnsi="仿宋" w:eastAsia="仿宋" w:cs="仿宋"/>
          <w:sz w:val="24"/>
          <w:szCs w:val="24"/>
          <w:highlight w:val="none"/>
        </w:rPr>
        <w:t>）。</w:t>
      </w:r>
    </w:p>
    <w:p w14:paraId="331385CD">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合同价格为含税价，乙方提供服务所发生的一切费用等都已包含于合同价款中。</w:t>
      </w:r>
    </w:p>
    <w:p w14:paraId="3F53A88F">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四、付款方式</w:t>
      </w:r>
    </w:p>
    <w:p w14:paraId="6EB8C652">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1.银行转账。</w:t>
      </w:r>
    </w:p>
    <w:p w14:paraId="504B52D2">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2.合同签订后乙方必须提供相应发票给甲方，收到乙方的发票后14日内，甲方向乙方支付合同总金额的100%。</w:t>
      </w:r>
    </w:p>
    <w:p w14:paraId="5710F36D">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乙方开户行：</w:t>
      </w:r>
    </w:p>
    <w:p w14:paraId="65D7D75A">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乙方户  名：</w:t>
      </w:r>
    </w:p>
    <w:p w14:paraId="71B1BC76">
      <w:pPr>
        <w:adjustRightInd w:val="0"/>
        <w:snapToGrid w:val="0"/>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乙方账  号：</w:t>
      </w:r>
    </w:p>
    <w:p w14:paraId="2A5D28FE">
      <w:pPr>
        <w:numPr>
          <w:ilvl w:val="0"/>
          <w:numId w:val="1"/>
        </w:numPr>
        <w:adjustRightInd w:val="0"/>
        <w:snapToGrid w:val="0"/>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服务期限：</w:t>
      </w:r>
    </w:p>
    <w:p w14:paraId="281177D5">
      <w:pPr>
        <w:spacing w:line="50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本项目服务期限为一年，自合同签订之日起。</w:t>
      </w:r>
    </w:p>
    <w:p w14:paraId="5B04B96F">
      <w:pPr>
        <w:numPr>
          <w:ilvl w:val="0"/>
          <w:numId w:val="1"/>
        </w:numPr>
        <w:tabs>
          <w:tab w:val="left" w:pos="720"/>
          <w:tab w:val="left" w:pos="3780"/>
          <w:tab w:val="left" w:pos="6480"/>
        </w:tabs>
        <w:autoSpaceDE w:val="0"/>
        <w:autoSpaceDN w:val="0"/>
        <w:spacing w:line="500" w:lineRule="exact"/>
        <w:ind w:left="0" w:leftChars="0" w:firstLine="0" w:firstLineChars="0"/>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内容及要求：</w:t>
      </w:r>
    </w:p>
    <w:p w14:paraId="02305749">
      <w:pPr>
        <w:pStyle w:val="2"/>
        <w:numPr>
          <w:numId w:val="0"/>
        </w:numPr>
        <w:ind w:leftChars="0"/>
        <w:rPr>
          <w:rFonts w:hint="default"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采购包1：</w:t>
      </w:r>
    </w:p>
    <w:p w14:paraId="165FC104">
      <w:pPr>
        <w:keepNext w:val="0"/>
        <w:keepLines w:val="0"/>
        <w:pageBreakBefore w:val="0"/>
        <w:kinsoku/>
        <w:wordWrap/>
        <w:overflowPunct/>
        <w:topLinePunct w:val="0"/>
        <w:autoSpaceDE/>
        <w:autoSpaceDN/>
        <w:bidi w:val="0"/>
        <w:adjustRightInd/>
        <w:ind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1.服务内容</w:t>
      </w:r>
    </w:p>
    <w:tbl>
      <w:tblPr>
        <w:tblStyle w:val="8"/>
        <w:tblW w:w="82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5499"/>
        <w:gridCol w:w="828"/>
        <w:gridCol w:w="624"/>
      </w:tblGrid>
      <w:tr w14:paraId="75E12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blHeader/>
          <w:jc w:val="center"/>
        </w:trPr>
        <w:tc>
          <w:tcPr>
            <w:tcW w:w="1303" w:type="dxa"/>
            <w:noWrap/>
            <w:vAlign w:val="center"/>
          </w:tcPr>
          <w:p w14:paraId="63B6A1E7">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品牌/型号</w:t>
            </w:r>
          </w:p>
        </w:tc>
        <w:tc>
          <w:tcPr>
            <w:tcW w:w="5499" w:type="dxa"/>
            <w:noWrap/>
            <w:vAlign w:val="center"/>
          </w:tcPr>
          <w:p w14:paraId="01FE7FE4">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技术参数及配置标准</w:t>
            </w:r>
          </w:p>
        </w:tc>
        <w:tc>
          <w:tcPr>
            <w:tcW w:w="828" w:type="dxa"/>
            <w:noWrap/>
            <w:vAlign w:val="center"/>
          </w:tcPr>
          <w:p w14:paraId="77CF6525">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数量</w:t>
            </w:r>
          </w:p>
        </w:tc>
        <w:tc>
          <w:tcPr>
            <w:tcW w:w="624" w:type="dxa"/>
            <w:noWrap/>
            <w:vAlign w:val="center"/>
          </w:tcPr>
          <w:p w14:paraId="6B066A4E">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单位</w:t>
            </w:r>
          </w:p>
        </w:tc>
      </w:tr>
      <w:tr w14:paraId="1B996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03" w:type="dxa"/>
            <w:noWrap/>
            <w:vAlign w:val="center"/>
          </w:tcPr>
          <w:p w14:paraId="5B812FDF">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技术咨询</w:t>
            </w:r>
          </w:p>
        </w:tc>
        <w:tc>
          <w:tcPr>
            <w:tcW w:w="5499" w:type="dxa"/>
            <w:noWrap w:val="0"/>
            <w:vAlign w:val="center"/>
          </w:tcPr>
          <w:p w14:paraId="3E7F9DD7">
            <w:pPr>
              <w:keepNext w:val="0"/>
              <w:keepLines w:val="0"/>
              <w:pageBreakBefore w:val="0"/>
              <w:widowControl/>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解答用户在日常办理业务过程的操作技术咨询。处理用户的疑难解答及投诉，并将接洽问题形成日志记录，以供查询统计。定期整理系统常见问题及处理方案</w:t>
            </w:r>
          </w:p>
        </w:tc>
        <w:tc>
          <w:tcPr>
            <w:tcW w:w="828" w:type="dxa"/>
            <w:noWrap/>
            <w:vAlign w:val="center"/>
          </w:tcPr>
          <w:p w14:paraId="75F7D1FF">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24" w:type="dxa"/>
            <w:noWrap/>
            <w:vAlign w:val="center"/>
          </w:tcPr>
          <w:p w14:paraId="706A95E4">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套</w:t>
            </w:r>
          </w:p>
        </w:tc>
      </w:tr>
      <w:tr w14:paraId="1B684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303" w:type="dxa"/>
            <w:noWrap/>
            <w:vAlign w:val="center"/>
          </w:tcPr>
          <w:p w14:paraId="799AB7D1">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定期巡检</w:t>
            </w:r>
          </w:p>
        </w:tc>
        <w:tc>
          <w:tcPr>
            <w:tcW w:w="5499" w:type="dxa"/>
            <w:noWrap w:val="0"/>
            <w:vAlign w:val="center"/>
          </w:tcPr>
          <w:p w14:paraId="554B7CDA">
            <w:pPr>
              <w:keepNext w:val="0"/>
              <w:keepLines w:val="0"/>
              <w:pageBreakBefore w:val="0"/>
              <w:widowControl/>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对系统基础运行环境进行日常巡检定期对系统数据库及支撑其运行的相关服务进行巡检，对业务数据传输、数据上传、下载情况进行巡检定期对系统各项应用功能进行巡检，保障业务系统正常办理业务发现隐患和或隐蔽异常问题，进行修复和预防处理，保障系统高效运行。</w:t>
            </w:r>
          </w:p>
        </w:tc>
        <w:tc>
          <w:tcPr>
            <w:tcW w:w="828" w:type="dxa"/>
            <w:noWrap/>
            <w:vAlign w:val="center"/>
          </w:tcPr>
          <w:p w14:paraId="1F0C9453">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24" w:type="dxa"/>
            <w:noWrap/>
            <w:vAlign w:val="center"/>
          </w:tcPr>
          <w:p w14:paraId="6D9A8FC7">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套</w:t>
            </w:r>
          </w:p>
        </w:tc>
      </w:tr>
      <w:tr w14:paraId="5807A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03" w:type="dxa"/>
            <w:noWrap/>
            <w:vAlign w:val="center"/>
          </w:tcPr>
          <w:p w14:paraId="6B3A13BC">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基础软件维护服务</w:t>
            </w:r>
          </w:p>
        </w:tc>
        <w:tc>
          <w:tcPr>
            <w:tcW w:w="5499" w:type="dxa"/>
            <w:noWrap w:val="0"/>
            <w:vAlign w:val="center"/>
          </w:tcPr>
          <w:p w14:paraId="2264BF37">
            <w:pPr>
              <w:keepNext w:val="0"/>
              <w:keepLines w:val="0"/>
              <w:pageBreakBefore w:val="0"/>
              <w:widowControl/>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针对系统的稳定运行及高可用性，检查并提供分析与建议数据库空间规划：根据用户的应用数据特点，检查当前空间规划是否合理数据库性能的监测：全面检测数据库的性能，包括：内存使用、SQL语句、磁盘和文件I/O等等</w:t>
            </w:r>
          </w:p>
        </w:tc>
        <w:tc>
          <w:tcPr>
            <w:tcW w:w="828" w:type="dxa"/>
            <w:noWrap/>
            <w:vAlign w:val="center"/>
          </w:tcPr>
          <w:p w14:paraId="1492E5A8">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24" w:type="dxa"/>
            <w:noWrap/>
            <w:vAlign w:val="center"/>
          </w:tcPr>
          <w:p w14:paraId="427B7F42">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套</w:t>
            </w:r>
          </w:p>
        </w:tc>
      </w:tr>
      <w:tr w14:paraId="6477B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03" w:type="dxa"/>
            <w:noWrap/>
            <w:vAlign w:val="center"/>
          </w:tcPr>
          <w:p w14:paraId="5A1D0270">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故障处置</w:t>
            </w:r>
          </w:p>
        </w:tc>
        <w:tc>
          <w:tcPr>
            <w:tcW w:w="5499" w:type="dxa"/>
            <w:noWrap w:val="0"/>
            <w:vAlign w:val="center"/>
          </w:tcPr>
          <w:p w14:paraId="79CBE30D">
            <w:pPr>
              <w:keepNext w:val="0"/>
              <w:keepLines w:val="0"/>
              <w:pageBreakBefore w:val="0"/>
              <w:widowControl/>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对服务请求分析、系统告警信息分析、巡视发现的系统故障分析配合用户开展故障定位、原因分析、制定故障解决方案用户服务请求、告警、故障处理，协调沟通和协助指挥按维护服务响应要求保证系统恢复</w:t>
            </w:r>
          </w:p>
        </w:tc>
        <w:tc>
          <w:tcPr>
            <w:tcW w:w="828" w:type="dxa"/>
            <w:noWrap/>
            <w:vAlign w:val="center"/>
          </w:tcPr>
          <w:p w14:paraId="686CD6D7">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24" w:type="dxa"/>
            <w:noWrap/>
            <w:vAlign w:val="center"/>
          </w:tcPr>
          <w:p w14:paraId="1C1F184F">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套</w:t>
            </w:r>
          </w:p>
        </w:tc>
      </w:tr>
      <w:tr w14:paraId="6F902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03" w:type="dxa"/>
            <w:noWrap/>
            <w:vAlign w:val="center"/>
          </w:tcPr>
          <w:p w14:paraId="391DACCF">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应急保障</w:t>
            </w:r>
          </w:p>
        </w:tc>
        <w:tc>
          <w:tcPr>
            <w:tcW w:w="5499" w:type="dxa"/>
            <w:noWrap w:val="0"/>
            <w:vAlign w:val="center"/>
          </w:tcPr>
          <w:p w14:paraId="01A72852">
            <w:pPr>
              <w:keepNext w:val="0"/>
              <w:keepLines w:val="0"/>
              <w:pageBreakBefore w:val="0"/>
              <w:widowControl/>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根据安全通报解决系统漏洞协助用户制定应急处置预案协助用户开展应急演练按照应急预案及时响应和处置协助编制应急处置报告</w:t>
            </w:r>
          </w:p>
        </w:tc>
        <w:tc>
          <w:tcPr>
            <w:tcW w:w="828" w:type="dxa"/>
            <w:noWrap/>
            <w:vAlign w:val="center"/>
          </w:tcPr>
          <w:p w14:paraId="66FD406A">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24" w:type="dxa"/>
            <w:noWrap/>
            <w:vAlign w:val="center"/>
          </w:tcPr>
          <w:p w14:paraId="0C9D59ED">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套</w:t>
            </w:r>
          </w:p>
        </w:tc>
      </w:tr>
      <w:tr w14:paraId="57F96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03" w:type="dxa"/>
            <w:noWrap/>
            <w:vAlign w:val="center"/>
          </w:tcPr>
          <w:p w14:paraId="1D54084D">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业务数据统计及报告</w:t>
            </w:r>
          </w:p>
        </w:tc>
        <w:tc>
          <w:tcPr>
            <w:tcW w:w="5499" w:type="dxa"/>
            <w:noWrap w:val="0"/>
            <w:vAlign w:val="center"/>
          </w:tcPr>
          <w:p w14:paraId="33851A58">
            <w:pPr>
              <w:keepNext w:val="0"/>
              <w:keepLines w:val="0"/>
              <w:pageBreakBefore w:val="0"/>
              <w:widowControl/>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按要求对系统的业务数据进行统计及分析。对运维过程中发现的具体问题，形成运维日志</w:t>
            </w:r>
          </w:p>
        </w:tc>
        <w:tc>
          <w:tcPr>
            <w:tcW w:w="828" w:type="dxa"/>
            <w:noWrap/>
            <w:vAlign w:val="center"/>
          </w:tcPr>
          <w:p w14:paraId="7737675D">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24" w:type="dxa"/>
            <w:noWrap/>
            <w:vAlign w:val="center"/>
          </w:tcPr>
          <w:p w14:paraId="01EDD863">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套</w:t>
            </w:r>
          </w:p>
        </w:tc>
      </w:tr>
      <w:tr w14:paraId="28BA4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jc w:val="center"/>
        </w:trPr>
        <w:tc>
          <w:tcPr>
            <w:tcW w:w="1303" w:type="dxa"/>
            <w:noWrap/>
            <w:vAlign w:val="center"/>
          </w:tcPr>
          <w:p w14:paraId="0B52221C">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业务数据维护服务</w:t>
            </w:r>
          </w:p>
        </w:tc>
        <w:tc>
          <w:tcPr>
            <w:tcW w:w="5499" w:type="dxa"/>
            <w:noWrap w:val="0"/>
            <w:vAlign w:val="center"/>
          </w:tcPr>
          <w:p w14:paraId="69F46276">
            <w:pPr>
              <w:keepNext w:val="0"/>
              <w:keepLines w:val="0"/>
              <w:pageBreakBefore w:val="0"/>
              <w:widowControl/>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提供系统基础数据备份服务解决因数据错误引起的无法办理相关业务的故障问题数据传输监控，保障数据上传、下载正常运行，出问题时进行人工干预在收到有关请求后，并协助采购人设置系统的相关业务参数根据采购人的业务需求，统计和分析系统的各类数据业务系统存储空间数据积压处理</w:t>
            </w:r>
          </w:p>
        </w:tc>
        <w:tc>
          <w:tcPr>
            <w:tcW w:w="828" w:type="dxa"/>
            <w:noWrap/>
            <w:vAlign w:val="center"/>
          </w:tcPr>
          <w:p w14:paraId="07EDA67F">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24" w:type="dxa"/>
            <w:noWrap/>
            <w:vAlign w:val="center"/>
          </w:tcPr>
          <w:p w14:paraId="60552CBB">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套</w:t>
            </w:r>
          </w:p>
        </w:tc>
      </w:tr>
      <w:tr w14:paraId="21CDD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03" w:type="dxa"/>
            <w:noWrap/>
            <w:vAlign w:val="center"/>
          </w:tcPr>
          <w:p w14:paraId="2498B80D">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系统技术支撑</w:t>
            </w:r>
          </w:p>
        </w:tc>
        <w:tc>
          <w:tcPr>
            <w:tcW w:w="5499" w:type="dxa"/>
            <w:noWrap w:val="0"/>
            <w:vAlign w:val="center"/>
          </w:tcPr>
          <w:p w14:paraId="6AEEEB41">
            <w:pPr>
              <w:keepNext w:val="0"/>
              <w:keepLines w:val="0"/>
              <w:pageBreakBefore w:val="0"/>
              <w:widowControl/>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为用户提供系统相关功能的操作手册或录屏教程，使用户能正常流畅</w:t>
            </w:r>
            <w:r>
              <w:rPr>
                <w:rFonts w:hint="eastAsia" w:ascii="仿宋" w:hAnsi="仿宋" w:eastAsia="仿宋" w:cs="仿宋"/>
                <w:sz w:val="24"/>
                <w:szCs w:val="24"/>
                <w:lang w:eastAsia="zh-CN"/>
              </w:rPr>
              <w:t>地</w:t>
            </w:r>
            <w:r>
              <w:rPr>
                <w:rFonts w:hint="eastAsia" w:ascii="仿宋" w:hAnsi="仿宋" w:eastAsia="仿宋" w:cs="仿宋"/>
                <w:sz w:val="24"/>
                <w:szCs w:val="24"/>
              </w:rPr>
              <w:t>使用系统。</w:t>
            </w:r>
          </w:p>
        </w:tc>
        <w:tc>
          <w:tcPr>
            <w:tcW w:w="828" w:type="dxa"/>
            <w:noWrap/>
            <w:vAlign w:val="center"/>
          </w:tcPr>
          <w:p w14:paraId="319FAF16">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24" w:type="dxa"/>
            <w:noWrap/>
            <w:vAlign w:val="center"/>
          </w:tcPr>
          <w:p w14:paraId="707BBEB5">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套</w:t>
            </w:r>
          </w:p>
        </w:tc>
      </w:tr>
      <w:tr w14:paraId="6E1A8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03" w:type="dxa"/>
            <w:noWrap/>
            <w:vAlign w:val="center"/>
          </w:tcPr>
          <w:p w14:paraId="707A3A36">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接口维护</w:t>
            </w:r>
          </w:p>
        </w:tc>
        <w:tc>
          <w:tcPr>
            <w:tcW w:w="5499" w:type="dxa"/>
            <w:noWrap w:val="0"/>
            <w:vAlign w:val="center"/>
          </w:tcPr>
          <w:p w14:paraId="03FD3525">
            <w:pPr>
              <w:keepNext w:val="0"/>
              <w:keepLines w:val="0"/>
              <w:pageBreakBefore w:val="0"/>
              <w:widowControl/>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部级信用系统数据交互接口维护、陕西省道路运输管理信息系统的基础数据的维护以及一些行业系统和陕西信用所需要的数据接口维护。</w:t>
            </w:r>
          </w:p>
        </w:tc>
        <w:tc>
          <w:tcPr>
            <w:tcW w:w="828" w:type="dxa"/>
            <w:noWrap/>
            <w:vAlign w:val="center"/>
          </w:tcPr>
          <w:p w14:paraId="1C6C95C2">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24" w:type="dxa"/>
            <w:noWrap/>
            <w:vAlign w:val="center"/>
          </w:tcPr>
          <w:p w14:paraId="520C0922">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套</w:t>
            </w:r>
          </w:p>
        </w:tc>
      </w:tr>
      <w:tr w14:paraId="0A42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jc w:val="center"/>
        </w:trPr>
        <w:tc>
          <w:tcPr>
            <w:tcW w:w="1303" w:type="dxa"/>
            <w:noWrap/>
            <w:vAlign w:val="center"/>
          </w:tcPr>
          <w:p w14:paraId="42BFF9FE">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系统功能模块维护</w:t>
            </w:r>
          </w:p>
        </w:tc>
        <w:tc>
          <w:tcPr>
            <w:tcW w:w="5499" w:type="dxa"/>
            <w:noWrap w:val="0"/>
            <w:vAlign w:val="center"/>
          </w:tcPr>
          <w:p w14:paraId="29677419">
            <w:pPr>
              <w:keepNext w:val="0"/>
              <w:keepLines w:val="0"/>
              <w:pageBreakBefore w:val="0"/>
              <w:widowControl/>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为系统的功能模块进行维护，包括以下功能的维护：</w:t>
            </w:r>
            <w:r>
              <w:rPr>
                <w:rFonts w:hint="eastAsia" w:ascii="仿宋" w:hAnsi="仿宋" w:eastAsia="仿宋" w:cs="仿宋"/>
                <w:sz w:val="24"/>
                <w:szCs w:val="24"/>
                <w:lang w:val="en-US" w:eastAsia="zh-CN"/>
              </w:rPr>
              <w:t>信用征集、信用评价、信用发布、联合惩戒红黑名单、监测统计模块。</w:t>
            </w:r>
          </w:p>
        </w:tc>
        <w:tc>
          <w:tcPr>
            <w:tcW w:w="828" w:type="dxa"/>
            <w:noWrap/>
            <w:vAlign w:val="center"/>
          </w:tcPr>
          <w:p w14:paraId="784D50B6">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24" w:type="dxa"/>
            <w:noWrap/>
            <w:vAlign w:val="center"/>
          </w:tcPr>
          <w:p w14:paraId="439FE91F">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套</w:t>
            </w:r>
          </w:p>
        </w:tc>
      </w:tr>
      <w:tr w14:paraId="363F1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303" w:type="dxa"/>
            <w:noWrap/>
            <w:vAlign w:val="center"/>
          </w:tcPr>
          <w:p w14:paraId="418DB0A2">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系统参数配置服务</w:t>
            </w:r>
          </w:p>
        </w:tc>
        <w:tc>
          <w:tcPr>
            <w:tcW w:w="5499" w:type="dxa"/>
            <w:noWrap w:val="0"/>
            <w:vAlign w:val="center"/>
          </w:tcPr>
          <w:p w14:paraId="1D7AF712">
            <w:pPr>
              <w:keepNext w:val="0"/>
              <w:keepLines w:val="0"/>
              <w:pageBreakBefore w:val="0"/>
              <w:widowControl/>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为保证系统适应实际业务需求，为用户提供系统参数配置服务</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包含信用征集指标、信用发布指标、部省共享交互指标的更新等工作。</w:t>
            </w:r>
          </w:p>
        </w:tc>
        <w:tc>
          <w:tcPr>
            <w:tcW w:w="828" w:type="dxa"/>
            <w:noWrap/>
            <w:vAlign w:val="center"/>
          </w:tcPr>
          <w:p w14:paraId="75B628F8">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24" w:type="dxa"/>
            <w:noWrap/>
            <w:vAlign w:val="center"/>
          </w:tcPr>
          <w:p w14:paraId="49956C0D">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套</w:t>
            </w:r>
          </w:p>
        </w:tc>
      </w:tr>
      <w:tr w14:paraId="1C42B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jc w:val="center"/>
        </w:trPr>
        <w:tc>
          <w:tcPr>
            <w:tcW w:w="1303" w:type="dxa"/>
            <w:noWrap/>
            <w:vAlign w:val="center"/>
          </w:tcPr>
          <w:p w14:paraId="602D22D0">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系统后台服务维护</w:t>
            </w:r>
          </w:p>
        </w:tc>
        <w:tc>
          <w:tcPr>
            <w:tcW w:w="5499" w:type="dxa"/>
            <w:noWrap w:val="0"/>
            <w:vAlign w:val="center"/>
          </w:tcPr>
          <w:p w14:paraId="776C7498">
            <w:pPr>
              <w:keepNext w:val="0"/>
              <w:keepLines w:val="0"/>
              <w:pageBreakBefore w:val="0"/>
              <w:widowControl/>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对系统后台进行维护，包括以下内容的维护：</w:t>
            </w:r>
            <w:r>
              <w:rPr>
                <w:rFonts w:hint="eastAsia" w:ascii="仿宋" w:hAnsi="仿宋" w:eastAsia="仿宋" w:cs="仿宋"/>
                <w:sz w:val="24"/>
                <w:szCs w:val="24"/>
                <w:lang w:val="en-US" w:eastAsia="zh-CN"/>
              </w:rPr>
              <w:t>主要定期系统的检测、数据的备份与恢复、更新补丁和故障分析与解决等</w:t>
            </w:r>
          </w:p>
        </w:tc>
        <w:tc>
          <w:tcPr>
            <w:tcW w:w="828" w:type="dxa"/>
            <w:noWrap/>
            <w:vAlign w:val="center"/>
          </w:tcPr>
          <w:p w14:paraId="0DD2127E">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24" w:type="dxa"/>
            <w:noWrap/>
            <w:vAlign w:val="center"/>
          </w:tcPr>
          <w:p w14:paraId="2B46B119">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套</w:t>
            </w:r>
          </w:p>
        </w:tc>
      </w:tr>
      <w:tr w14:paraId="58C78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jc w:val="center"/>
        </w:trPr>
        <w:tc>
          <w:tcPr>
            <w:tcW w:w="1303" w:type="dxa"/>
            <w:noWrap/>
            <w:vAlign w:val="center"/>
          </w:tcPr>
          <w:p w14:paraId="3C466867">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交通</w:t>
            </w:r>
            <w:r>
              <w:rPr>
                <w:rFonts w:hint="eastAsia" w:ascii="仿宋" w:hAnsi="仿宋" w:eastAsia="仿宋" w:cs="仿宋"/>
                <w:sz w:val="24"/>
                <w:szCs w:val="24"/>
                <w:lang w:val="en-US" w:eastAsia="zh-CN"/>
              </w:rPr>
              <w:t>信用指标运输市场的</w:t>
            </w:r>
            <w:r>
              <w:rPr>
                <w:rFonts w:hint="eastAsia" w:ascii="仿宋" w:hAnsi="仿宋" w:eastAsia="仿宋" w:cs="仿宋"/>
                <w:sz w:val="24"/>
                <w:szCs w:val="24"/>
              </w:rPr>
              <w:t>数据资源中心</w:t>
            </w:r>
            <w:r>
              <w:rPr>
                <w:rFonts w:hint="eastAsia" w:ascii="仿宋" w:hAnsi="仿宋" w:eastAsia="仿宋" w:cs="仿宋"/>
                <w:sz w:val="24"/>
                <w:szCs w:val="24"/>
                <w:lang w:val="en-US" w:eastAsia="zh-CN"/>
              </w:rPr>
              <w:t>维护</w:t>
            </w:r>
          </w:p>
        </w:tc>
        <w:tc>
          <w:tcPr>
            <w:tcW w:w="5499" w:type="dxa"/>
            <w:noWrap w:val="0"/>
            <w:vAlign w:val="center"/>
          </w:tcPr>
          <w:p w14:paraId="7FEC42AE">
            <w:pPr>
              <w:keepNext w:val="0"/>
              <w:keepLines w:val="0"/>
              <w:pageBreakBefore w:val="0"/>
              <w:widowControl/>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陕西省交通信用数据指标维护，通过信用行业标准对：</w:t>
            </w:r>
            <w:r>
              <w:rPr>
                <w:rFonts w:hint="eastAsia" w:ascii="仿宋" w:hAnsi="仿宋" w:eastAsia="仿宋" w:cs="仿宋"/>
                <w:sz w:val="24"/>
                <w:szCs w:val="24"/>
                <w:lang w:val="zh-CN"/>
              </w:rPr>
              <w:t>道路运输市场经营企业、营运车辆、从业人员基础数据清理、校核，水路运输企业、港口企业、营运船舶、高管人员基础数据库。</w:t>
            </w:r>
            <w:r>
              <w:rPr>
                <w:rFonts w:hint="eastAsia" w:ascii="仿宋" w:hAnsi="仿宋" w:eastAsia="仿宋" w:cs="仿宋"/>
                <w:sz w:val="24"/>
                <w:szCs w:val="24"/>
                <w:lang w:val="en-US" w:eastAsia="zh-CN"/>
              </w:rPr>
              <w:t>采集转化为：行业类别信用考核的客运行业、货运行业、维修行业、驾培行业等行业的数据的维护</w:t>
            </w:r>
          </w:p>
          <w:p w14:paraId="35F46DCC">
            <w:pPr>
              <w:keepNext w:val="0"/>
              <w:keepLines w:val="0"/>
              <w:pageBreakBefore w:val="0"/>
              <w:widowControl/>
              <w:tabs>
                <w:tab w:val="left" w:pos="582"/>
              </w:tabs>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lang w:val="en-US" w:eastAsia="zh-CN"/>
              </w:rPr>
            </w:pPr>
          </w:p>
        </w:tc>
        <w:tc>
          <w:tcPr>
            <w:tcW w:w="828" w:type="dxa"/>
            <w:noWrap/>
            <w:vAlign w:val="center"/>
          </w:tcPr>
          <w:p w14:paraId="0948D5D9">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24" w:type="dxa"/>
            <w:noWrap/>
            <w:vAlign w:val="center"/>
          </w:tcPr>
          <w:p w14:paraId="0780F90B">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套</w:t>
            </w:r>
          </w:p>
        </w:tc>
      </w:tr>
      <w:tr w14:paraId="54800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jc w:val="center"/>
        </w:trPr>
        <w:tc>
          <w:tcPr>
            <w:tcW w:w="1303" w:type="dxa"/>
            <w:noWrap/>
            <w:vAlign w:val="center"/>
          </w:tcPr>
          <w:p w14:paraId="4F875EDD">
            <w:pPr>
              <w:keepNext w:val="0"/>
              <w:keepLines w:val="0"/>
              <w:pageBreakBefore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核心版系统升级</w:t>
            </w:r>
          </w:p>
        </w:tc>
        <w:tc>
          <w:tcPr>
            <w:tcW w:w="5499" w:type="dxa"/>
            <w:noWrap w:val="0"/>
            <w:vAlign w:val="center"/>
          </w:tcPr>
          <w:p w14:paraId="3D95BB21">
            <w:pPr>
              <w:keepNext w:val="0"/>
              <w:keepLines w:val="0"/>
              <w:pageBreakBefore w:val="0"/>
              <w:kinsoku/>
              <w:wordWrap/>
              <w:overflowPunct/>
              <w:topLinePunct w:val="0"/>
              <w:autoSpaceDE/>
              <w:autoSpaceDN/>
              <w:bidi w:val="0"/>
              <w:adjustRightInd/>
              <w:snapToGrid/>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根据部局要求对核心版系统进行升级</w:t>
            </w:r>
          </w:p>
        </w:tc>
        <w:tc>
          <w:tcPr>
            <w:tcW w:w="828" w:type="dxa"/>
            <w:noWrap/>
            <w:vAlign w:val="center"/>
          </w:tcPr>
          <w:p w14:paraId="7F1A4E71">
            <w:pPr>
              <w:keepNext w:val="0"/>
              <w:keepLines w:val="0"/>
              <w:pageBreakBefore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24" w:type="dxa"/>
            <w:noWrap/>
            <w:vAlign w:val="center"/>
          </w:tcPr>
          <w:p w14:paraId="5B04FE9B">
            <w:pPr>
              <w:keepNext w:val="0"/>
              <w:keepLines w:val="0"/>
              <w:pageBreakBefore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套</w:t>
            </w:r>
          </w:p>
        </w:tc>
      </w:tr>
    </w:tbl>
    <w:p w14:paraId="329D76AC">
      <w:pPr>
        <w:keepNext w:val="0"/>
        <w:keepLines w:val="0"/>
        <w:pageBreakBefore w:val="0"/>
        <w:kinsoku/>
        <w:wordWrap/>
        <w:overflowPunct/>
        <w:topLinePunct w:val="0"/>
        <w:autoSpaceDE/>
        <w:autoSpaceDN/>
        <w:bidi w:val="0"/>
        <w:adjustRightInd/>
        <w:ind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2.运维要求</w:t>
      </w:r>
    </w:p>
    <w:p w14:paraId="6E0D981D">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bookmarkStart w:id="0" w:name="_Toc498687822"/>
      <w:r>
        <w:rPr>
          <w:rFonts w:hint="eastAsia" w:ascii="仿宋" w:hAnsi="仿宋" w:eastAsia="仿宋" w:cs="仿宋"/>
          <w:b w:val="0"/>
          <w:bCs w:val="0"/>
          <w:sz w:val="24"/>
          <w:szCs w:val="24"/>
          <w:lang w:val="en-US" w:eastAsia="zh-CN" w:bidi="ar-SA"/>
        </w:rPr>
        <w:t>（一）基础运维服务</w:t>
      </w:r>
      <w:bookmarkEnd w:id="0"/>
      <w:r>
        <w:rPr>
          <w:rFonts w:hint="eastAsia" w:ascii="仿宋" w:hAnsi="仿宋" w:eastAsia="仿宋" w:cs="仿宋"/>
          <w:b w:val="0"/>
          <w:bCs w:val="0"/>
          <w:sz w:val="24"/>
          <w:szCs w:val="24"/>
          <w:lang w:val="en-US" w:eastAsia="zh-CN" w:bidi="ar-SA"/>
        </w:rPr>
        <w:t>要求</w:t>
      </w:r>
    </w:p>
    <w:p w14:paraId="37C7206B">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需提供平台软件基础运维服务内容，具体要求如下：</w:t>
      </w:r>
    </w:p>
    <w:p w14:paraId="37A3F330">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1.1提供软件维护服务，7*24小时在线响应，2小时现场支持响应，以保障健康稳定运行；</w:t>
      </w:r>
    </w:p>
    <w:p w14:paraId="5A579CEB">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1.2及时响应故障，快速修复，将因各种软件层面原因造成的系统中断故障时间缩到最低限度；</w:t>
      </w:r>
    </w:p>
    <w:p w14:paraId="3973D0E6">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1.3保障数据安全、网络安全，符合采购人及其上级机关关于数据安全、网络安全的相关规定。</w:t>
      </w:r>
    </w:p>
    <w:p w14:paraId="4753A5E5">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1.4需要对系统数据进行检查整理，保证数据与其它相关系统同步，并根据业主单位要求定期给交通运输部和省信用办上报、交换数据。</w:t>
      </w:r>
    </w:p>
    <w:p w14:paraId="2E28F252">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（二）日常维护</w:t>
      </w:r>
    </w:p>
    <w:p w14:paraId="7F92CC30">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完成异常进程处理、定期重启等日常维护操作，确保系统的正常运行。</w:t>
      </w:r>
      <w:r>
        <w:rPr>
          <w:rFonts w:hint="eastAsia" w:ascii="仿宋" w:hAnsi="仿宋" w:eastAsia="仿宋" w:cs="仿宋"/>
          <w:b w:val="0"/>
          <w:bCs w:val="0"/>
          <w:sz w:val="24"/>
          <w:szCs w:val="24"/>
          <w:lang w:val="en-US" w:eastAsia="zh-CN" w:bidi="ar-SA"/>
        </w:rPr>
        <w:tab/>
      </w:r>
    </w:p>
    <w:p w14:paraId="037A01AD">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日常维护内容应包括但不仅限于以下内容：</w:t>
      </w:r>
    </w:p>
    <w:p w14:paraId="5DB3AF92">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2.1对异常进程进行终止等操作。</w:t>
      </w:r>
    </w:p>
    <w:p w14:paraId="4FFFDD53">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2.2对系统进行重启操作。</w:t>
      </w:r>
    </w:p>
    <w:p w14:paraId="6A9D05C6">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2.3对系统垃圾数据进行清除。</w:t>
      </w:r>
    </w:p>
    <w:p w14:paraId="30C7B2BF">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（三）系统巡检</w:t>
      </w:r>
    </w:p>
    <w:p w14:paraId="7A3AD7B8">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检查运行情况，确保正常访问。</w:t>
      </w:r>
    </w:p>
    <w:p w14:paraId="75494235">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3.1日常巡检：按照巡检方案定期开展系统巡检，每天1次。</w:t>
      </w:r>
    </w:p>
    <w:p w14:paraId="2B2B5FE2">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3.2特巡特维：重大活动、会议、工作检查等特殊时期按要求执行特别巡视和维护。</w:t>
      </w:r>
    </w:p>
    <w:p w14:paraId="47480103">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（四）故障处置</w:t>
      </w:r>
    </w:p>
    <w:p w14:paraId="7DDD3C99">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对用户报障/服务请求、系统告警、巡检发现的简单软件故障进行处理，确保恢复系统应用。</w:t>
      </w:r>
    </w:p>
    <w:p w14:paraId="7E6FEB39">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4.1对服务请求分析、系统告警信息分析、巡视发现的系统故障分析。</w:t>
      </w:r>
    </w:p>
    <w:p w14:paraId="0A4A1E31">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4.2对用户进行咨询解答、业务指导、操作指导。</w:t>
      </w:r>
    </w:p>
    <w:p w14:paraId="2A27FADD">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4.3配合开展故障定位、原因分析、制定故障解决方案。</w:t>
      </w:r>
    </w:p>
    <w:p w14:paraId="61B7D373">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4.4用户服务请求、告警、故障处理，协调沟通和协助指挥。</w:t>
      </w:r>
    </w:p>
    <w:p w14:paraId="222262CC">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4.5按维护服务响应要求保证系统恢复。</w:t>
      </w:r>
    </w:p>
    <w:p w14:paraId="21E3705B">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4.6编制故障分析及处置报告。</w:t>
      </w:r>
    </w:p>
    <w:p w14:paraId="35684C0D">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（五）应急保障</w:t>
      </w:r>
    </w:p>
    <w:p w14:paraId="500D50E3">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应急情况发生时及时响应、特殊时期应急保障支持。</w:t>
      </w:r>
      <w:r>
        <w:rPr>
          <w:rFonts w:hint="eastAsia" w:ascii="仿宋" w:hAnsi="仿宋" w:eastAsia="仿宋" w:cs="仿宋"/>
          <w:b w:val="0"/>
          <w:bCs w:val="0"/>
          <w:sz w:val="24"/>
          <w:szCs w:val="24"/>
          <w:lang w:val="en-US" w:eastAsia="zh-CN" w:bidi="ar-SA"/>
        </w:rPr>
        <w:tab/>
      </w:r>
    </w:p>
    <w:p w14:paraId="72C203CC">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5.1协助编制应急处置预案。</w:t>
      </w:r>
    </w:p>
    <w:p w14:paraId="08424C03">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5.2按照应急预案及时响应和处置。</w:t>
      </w:r>
    </w:p>
    <w:p w14:paraId="57D97F86">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lang w:val="en-US" w:eastAsia="zh-CN" w:bidi="ar-SA"/>
        </w:rPr>
      </w:pPr>
      <w:r>
        <w:rPr>
          <w:rFonts w:hint="eastAsia" w:ascii="仿宋" w:hAnsi="仿宋" w:eastAsia="仿宋" w:cs="仿宋"/>
          <w:b/>
          <w:bCs/>
          <w:sz w:val="24"/>
          <w:szCs w:val="24"/>
          <w:lang w:val="en-US" w:eastAsia="zh-CN" w:bidi="ar-SA"/>
        </w:rPr>
        <w:t>3.服务响应要求</w:t>
      </w:r>
    </w:p>
    <w:p w14:paraId="733EB732">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（一）故障响应时间</w:t>
      </w:r>
    </w:p>
    <w:p w14:paraId="79FE7929">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对于严重故障（影响用户方业务正常运作的故障），派遣工程师到现场做技术支持：5分钟以内响应；接到故障通知后，根据实际要求到达现场；到达用户现场后，8小时内恢复。</w:t>
      </w:r>
    </w:p>
    <w:p w14:paraId="70CAA442">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对于一般性故障（不影响用户方业务正常运作的故障），派遣工程师到现场做技术支持：5分钟以内响应；接到故障通知后，根据实际要求到达现场；到达用户现场后，24小时内恢复</w:t>
      </w:r>
    </w:p>
    <w:p w14:paraId="568B90C1">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（二）电话支持服务</w:t>
      </w:r>
    </w:p>
    <w:p w14:paraId="64708437">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提供7*24小时电话技术支持。</w:t>
      </w:r>
    </w:p>
    <w:p w14:paraId="293A10B5">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电话支持服务包含但不限于：业务咨询；故障申报；电话技术支持申请；服务交付跟踪查询；服务质量投诉；服务质量反馈及满意度调查。</w:t>
      </w:r>
    </w:p>
    <w:p w14:paraId="36B529D7">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（三）现场技术支持服务</w:t>
      </w:r>
    </w:p>
    <w:p w14:paraId="32599E5E">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为提供7×24小时的现场技术响应支持。接到现场技术支持申告后，即安排技术服务工程师以最快的交通工具到达用户现场提供服务。</w:t>
      </w:r>
    </w:p>
    <w:p w14:paraId="051CF8EC">
      <w:pPr>
        <w:keepNext w:val="0"/>
        <w:keepLines w:val="0"/>
        <w:pageBreakBefore w:val="0"/>
        <w:widowControl/>
        <w:tabs>
          <w:tab w:val="left" w:pos="851"/>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现场技术支持服务包含但不限于：系统调整优化；故障检测定位；故障排除恢复；软件版本升级；部件更换维修；技术保障工作。</w:t>
      </w:r>
    </w:p>
    <w:p w14:paraId="10B70750">
      <w:pPr>
        <w:keepNext w:val="0"/>
        <w:keepLines w:val="0"/>
        <w:pageBreakBefore w:val="0"/>
        <w:kinsoku/>
        <w:wordWrap/>
        <w:overflowPunct/>
        <w:topLinePunct w:val="0"/>
        <w:autoSpaceDE/>
        <w:autoSpaceDN/>
        <w:bidi w:val="0"/>
        <w:adjustRightInd/>
        <w:spacing w:line="360" w:lineRule="auto"/>
        <w:ind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4.软件优化升级</w:t>
      </w:r>
    </w:p>
    <w:p w14:paraId="1CC47F9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乙方免费提供本项目范围内软件系统因安全漏洞问题、外部系统调整、上级部门业务调整等所做的调整、优化、升级服务。</w:t>
      </w:r>
    </w:p>
    <w:p w14:paraId="471BAB5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eastAsia" w:ascii="仿宋" w:hAnsi="仿宋" w:eastAsia="仿宋" w:cs="仿宋"/>
          <w:b w:val="0"/>
          <w:bCs/>
          <w:sz w:val="24"/>
          <w:highlight w:val="none"/>
          <w:lang w:val="en-US" w:eastAsia="zh-CN"/>
        </w:rPr>
        <w:t>采购包2：</w:t>
      </w:r>
    </w:p>
    <w:p w14:paraId="6660D8D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lang w:val="en-US" w:eastAsia="zh-CN"/>
        </w:rPr>
        <w:t>1.</w:t>
      </w:r>
      <w:r>
        <w:rPr>
          <w:rFonts w:hint="eastAsia" w:ascii="仿宋" w:hAnsi="仿宋" w:eastAsia="仿宋" w:cs="仿宋"/>
          <w:b w:val="0"/>
          <w:bCs/>
          <w:sz w:val="24"/>
          <w:highlight w:val="none"/>
        </w:rPr>
        <w:t>数据运维</w:t>
      </w:r>
    </w:p>
    <w:p w14:paraId="0C12E9F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根据陕西省公路水路建设市场信用信息管理系统的现有实际情况，对系统中的项目信息、标段信息、人员信息等重要数据，进行定期将数据和部信息平台进行数据同步和备份。</w:t>
      </w:r>
    </w:p>
    <w:p w14:paraId="5C39A2F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本系统主要的数据备份内容就是数据库备份，由于数据库中不同类型的数据的更新周期是不一样的，有些可能每天都在变化；有些可能连续几个月也不会有变化，比如年度评价数据等。为提高备份的效率，节省资源，我们建议将数据库中的数据划分成三类，分别采用不同的备份策略：</w:t>
      </w:r>
    </w:p>
    <w:p w14:paraId="74867B3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对于每天、每月都可能变化的数据采用增量备份，每月作一次全备份；</w:t>
      </w:r>
    </w:p>
    <w:p w14:paraId="31BD019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对于每季之内不定期变化的数据（通常是有关的季度评价数据、半年度评价信息），半年作一次全备份；</w:t>
      </w:r>
    </w:p>
    <w:p w14:paraId="7E6266D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对于变化很少的数据（通常是年度评价结果数据、历史数据或汇总数据等），每年作一次全备份。</w:t>
      </w:r>
    </w:p>
    <w:p w14:paraId="1024182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eastAsia" w:ascii="仿宋" w:hAnsi="仿宋" w:eastAsia="仿宋" w:cs="仿宋"/>
          <w:b w:val="0"/>
          <w:bCs/>
          <w:sz w:val="24"/>
          <w:highlight w:val="none"/>
          <w:lang w:val="en-US" w:eastAsia="zh-CN"/>
        </w:rPr>
        <w:t>2.</w:t>
      </w:r>
      <w:r>
        <w:rPr>
          <w:rFonts w:hint="default" w:ascii="仿宋" w:hAnsi="仿宋" w:eastAsia="仿宋" w:cs="仿宋"/>
          <w:b w:val="0"/>
          <w:bCs/>
          <w:sz w:val="24"/>
          <w:highlight w:val="none"/>
          <w:lang w:val="en-US" w:eastAsia="zh-CN"/>
        </w:rPr>
        <w:t>系统运维</w:t>
      </w:r>
    </w:p>
    <w:p w14:paraId="78F223B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根据陕西省公路水路建设市场信用信息管理系统中数据库特性，进行预防性巡检，在进行巡检的基础上完成系统参数、配置调优，及漏洞处理，问题修复、补丁安装。</w:t>
      </w:r>
    </w:p>
    <w:p w14:paraId="7CCD6B7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（1）系统运维</w:t>
      </w:r>
    </w:p>
    <w:p w14:paraId="791BEAE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系统功能运维：对陕西省公路水路建设市场信用信息管理系统中的功能、数据资源、单位访问、角色、组织机构等重要系统功能进行权限调整。</w:t>
      </w:r>
    </w:p>
    <w:p w14:paraId="7FB29BD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系统故障排除：对于系统使用中出现BUG进行及时的修复。对于系统出现其他报错信息，分析故障，并对故障进行排除。</w:t>
      </w:r>
    </w:p>
    <w:p w14:paraId="3100F82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业务整合及维护：系统使用方管理规定及要求，对业务流程的变化做出相应调。</w:t>
      </w:r>
    </w:p>
    <w:p w14:paraId="56C13E5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系统优化：针对系统部分功能进行性能调优工作，包括了对数据对象的优化查询，应用中间件的参数配置，并对优化进行详细的测试，出具系统优化报告，评估优化的成果。</w:t>
      </w:r>
    </w:p>
    <w:p w14:paraId="78ADCB9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（2）日常运维</w:t>
      </w:r>
    </w:p>
    <w:p w14:paraId="6714DD1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陕西省公路水路建设市场信用信息管理系统完成日常系统维护工作并提供软硬件相关技术服务：提供相应的技术支持资料；还要对业务资料收集整理；于此基础上能完成软件安装和操作系统安装维护并能完成简单硬件故障排查。</w:t>
      </w:r>
    </w:p>
    <w:p w14:paraId="49F3D40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（3）巡检服务</w:t>
      </w:r>
    </w:p>
    <w:p w14:paraId="647AC29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每月一次巡检工作，针对检查内容提供巡检结果记录单和问题处理单，并针对检查过程中发现的问题给予及时处理，巡检内容如下：</w:t>
      </w:r>
    </w:p>
    <w:p w14:paraId="00330F7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应用系统的运行状况，是否可访问，各项服务是否运转，系统性能状况，应用系统的日志等；</w:t>
      </w:r>
    </w:p>
    <w:p w14:paraId="1D632E7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应用服务器的运行情况，查看运行日志；</w:t>
      </w:r>
    </w:p>
    <w:p w14:paraId="62E537E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数据交换、报送程序是否运转，查看运行日志；</w:t>
      </w:r>
    </w:p>
    <w:p w14:paraId="2922FAA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检查系统数据是否有备份，数据是否安全。</w:t>
      </w:r>
    </w:p>
    <w:p w14:paraId="775B410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每月巡检后提供《系统运行状况的评估报告》，分析系统的运行状况，系统的稳定程度，性能是否达到最优，并对系统的优化和今后运行维护给出指导性意见和建议。每季度提供季度系统运行情况总结。</w:t>
      </w:r>
    </w:p>
    <w:p w14:paraId="4EAEC13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eastAsia" w:ascii="仿宋" w:hAnsi="仿宋" w:eastAsia="仿宋" w:cs="仿宋"/>
          <w:b w:val="0"/>
          <w:bCs/>
          <w:sz w:val="24"/>
          <w:highlight w:val="none"/>
          <w:lang w:val="en-US" w:eastAsia="zh-CN"/>
        </w:rPr>
        <w:t>3.</w:t>
      </w:r>
      <w:r>
        <w:rPr>
          <w:rFonts w:hint="default" w:ascii="仿宋" w:hAnsi="仿宋" w:eastAsia="仿宋" w:cs="仿宋"/>
          <w:b w:val="0"/>
          <w:bCs/>
          <w:sz w:val="24"/>
          <w:highlight w:val="none"/>
          <w:lang w:val="en-US" w:eastAsia="zh-CN"/>
        </w:rPr>
        <w:t>安全运维</w:t>
      </w:r>
    </w:p>
    <w:p w14:paraId="688C287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sz w:val="24"/>
          <w:highlight w:val="none"/>
          <w:lang w:val="en-US" w:eastAsia="zh-CN"/>
        </w:rPr>
      </w:pPr>
      <w:r>
        <w:rPr>
          <w:rFonts w:hint="default" w:ascii="仿宋" w:hAnsi="仿宋" w:eastAsia="仿宋" w:cs="仿宋"/>
          <w:b w:val="0"/>
          <w:bCs/>
          <w:sz w:val="24"/>
          <w:highlight w:val="none"/>
          <w:lang w:val="en-US" w:eastAsia="zh-CN"/>
        </w:rPr>
        <w:t>定期对陕西省公路水路建设与水路运输市场信用信息管理系统所使用的服务器进行安全检查，包括检查系统是否有病毒或木马入侵，检查系统文件是否被破坏或侵入；对陕西省公路水路建设与水路运输市场信用信息管理系统所使用的系统、中间件等进行安全升级，修补系统漏洞。</w:t>
      </w:r>
    </w:p>
    <w:p w14:paraId="7C583801">
      <w:pPr>
        <w:pStyle w:val="10"/>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kern w:val="2"/>
          <w:sz w:val="24"/>
          <w:highlight w:val="none"/>
          <w:lang w:val="en-US" w:eastAsia="zh-CN" w:bidi="ar-SA"/>
        </w:rPr>
      </w:pPr>
      <w:r>
        <w:rPr>
          <w:rFonts w:hint="eastAsia" w:ascii="仿宋" w:hAnsi="仿宋" w:eastAsia="仿宋" w:cs="仿宋"/>
          <w:b w:val="0"/>
          <w:bCs/>
          <w:kern w:val="2"/>
          <w:sz w:val="24"/>
          <w:highlight w:val="none"/>
          <w:lang w:val="en-US" w:eastAsia="zh-CN" w:bidi="ar-SA"/>
        </w:rPr>
        <w:t>4.</w:t>
      </w:r>
      <w:r>
        <w:rPr>
          <w:rFonts w:hint="default" w:ascii="仿宋" w:hAnsi="仿宋" w:eastAsia="仿宋" w:cs="仿宋"/>
          <w:b w:val="0"/>
          <w:bCs/>
          <w:kern w:val="2"/>
          <w:sz w:val="24"/>
          <w:highlight w:val="none"/>
          <w:lang w:val="en-US" w:eastAsia="zh-CN" w:bidi="ar-SA"/>
        </w:rPr>
        <w:t>系统技术支持</w:t>
      </w:r>
    </w:p>
    <w:p w14:paraId="0BD1B968">
      <w:pPr>
        <w:pStyle w:val="10"/>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kern w:val="2"/>
          <w:sz w:val="24"/>
          <w:highlight w:val="none"/>
          <w:lang w:val="en-US" w:eastAsia="zh-CN" w:bidi="ar-SA"/>
        </w:rPr>
      </w:pPr>
      <w:r>
        <w:rPr>
          <w:rFonts w:hint="eastAsia" w:ascii="仿宋" w:hAnsi="仿宋" w:eastAsia="仿宋" w:cs="仿宋"/>
          <w:b w:val="0"/>
          <w:bCs/>
          <w:kern w:val="2"/>
          <w:sz w:val="24"/>
          <w:highlight w:val="none"/>
          <w:lang w:val="en-US" w:eastAsia="zh-CN" w:bidi="ar-SA"/>
        </w:rPr>
        <w:t>（1）</w:t>
      </w:r>
      <w:r>
        <w:rPr>
          <w:rFonts w:hint="default" w:ascii="仿宋" w:hAnsi="仿宋" w:eastAsia="仿宋" w:cs="仿宋"/>
          <w:b w:val="0"/>
          <w:bCs/>
          <w:kern w:val="2"/>
          <w:sz w:val="24"/>
          <w:highlight w:val="none"/>
          <w:lang w:val="en-US" w:eastAsia="zh-CN" w:bidi="ar-SA"/>
        </w:rPr>
        <w:t>对各厅直行业局、各市交通运输主管部门提供服务方式包含但不限于：电话、微信/QQ群、视频连线等指导服务。保证系统用户，遇见问题时，能够得到及时、专业的解答服务。</w:t>
      </w:r>
    </w:p>
    <w:p w14:paraId="453766AB">
      <w:pPr>
        <w:pStyle w:val="10"/>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kern w:val="2"/>
          <w:sz w:val="24"/>
          <w:highlight w:val="none"/>
          <w:lang w:val="en-US" w:eastAsia="zh-CN" w:bidi="ar-SA"/>
        </w:rPr>
      </w:pPr>
      <w:r>
        <w:rPr>
          <w:rFonts w:hint="eastAsia" w:ascii="仿宋" w:hAnsi="仿宋" w:eastAsia="仿宋" w:cs="仿宋"/>
          <w:b w:val="0"/>
          <w:bCs/>
          <w:kern w:val="2"/>
          <w:sz w:val="24"/>
          <w:highlight w:val="none"/>
          <w:lang w:val="en-US" w:eastAsia="zh-CN" w:bidi="ar-SA"/>
        </w:rPr>
        <w:t>（2）</w:t>
      </w:r>
      <w:r>
        <w:rPr>
          <w:rFonts w:hint="default" w:ascii="仿宋" w:hAnsi="仿宋" w:eastAsia="仿宋" w:cs="仿宋"/>
          <w:b w:val="0"/>
          <w:bCs/>
          <w:kern w:val="2"/>
          <w:sz w:val="24"/>
          <w:highlight w:val="none"/>
          <w:lang w:val="en-US" w:eastAsia="zh-CN" w:bidi="ar-SA"/>
        </w:rPr>
        <w:t>针对省厅建设处、港航处等业务处室管理提供信用评价信息审核、申诉委派及处理等业务咨询和现场操作指导服务。</w:t>
      </w:r>
    </w:p>
    <w:p w14:paraId="1DBAF1F4">
      <w:pPr>
        <w:pStyle w:val="10"/>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kern w:val="2"/>
          <w:sz w:val="24"/>
          <w:highlight w:val="none"/>
          <w:lang w:val="en-US" w:eastAsia="zh-CN" w:bidi="ar-SA"/>
        </w:rPr>
      </w:pPr>
      <w:r>
        <w:rPr>
          <w:rFonts w:hint="eastAsia" w:ascii="仿宋" w:hAnsi="仿宋" w:eastAsia="仿宋" w:cs="仿宋"/>
          <w:b w:val="0"/>
          <w:bCs/>
          <w:kern w:val="2"/>
          <w:sz w:val="24"/>
          <w:highlight w:val="none"/>
          <w:lang w:val="en-US" w:eastAsia="zh-CN" w:bidi="ar-SA"/>
        </w:rPr>
        <w:t>（3）</w:t>
      </w:r>
      <w:r>
        <w:rPr>
          <w:rFonts w:hint="default" w:ascii="仿宋" w:hAnsi="仿宋" w:eastAsia="仿宋" w:cs="仿宋"/>
          <w:b w:val="0"/>
          <w:bCs/>
          <w:kern w:val="2"/>
          <w:sz w:val="24"/>
          <w:highlight w:val="none"/>
          <w:lang w:val="en-US" w:eastAsia="zh-CN" w:bidi="ar-SA"/>
        </w:rPr>
        <w:t>针对地市交通主管部门用户提供、评价依据信息登记、评价信息审核、辖区内参评信息汇总、评价比例控制、评价流程调整、申诉梳理等业务咨询和操作指导服务；</w:t>
      </w:r>
    </w:p>
    <w:p w14:paraId="535C1627">
      <w:pPr>
        <w:pStyle w:val="10"/>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kern w:val="2"/>
          <w:sz w:val="24"/>
          <w:highlight w:val="none"/>
          <w:lang w:val="en-US" w:eastAsia="zh-CN" w:bidi="ar-SA"/>
        </w:rPr>
      </w:pPr>
      <w:r>
        <w:rPr>
          <w:rFonts w:hint="eastAsia" w:ascii="仿宋" w:hAnsi="仿宋" w:eastAsia="仿宋" w:cs="仿宋"/>
          <w:b w:val="0"/>
          <w:bCs/>
          <w:kern w:val="2"/>
          <w:sz w:val="24"/>
          <w:highlight w:val="none"/>
          <w:lang w:val="en-US" w:eastAsia="zh-CN" w:bidi="ar-SA"/>
        </w:rPr>
        <w:t>（4）</w:t>
      </w:r>
      <w:r>
        <w:rPr>
          <w:rFonts w:hint="default" w:ascii="仿宋" w:hAnsi="仿宋" w:eastAsia="仿宋" w:cs="仿宋"/>
          <w:b w:val="0"/>
          <w:bCs/>
          <w:kern w:val="2"/>
          <w:sz w:val="24"/>
          <w:highlight w:val="none"/>
          <w:lang w:val="en-US" w:eastAsia="zh-CN" w:bidi="ar-SA"/>
        </w:rPr>
        <w:t>针对建设单位用户提供评价依据信息登记、评级扣分登记、项目标段登记、用户名密码初始化等业务咨询和操作指导服务；</w:t>
      </w:r>
    </w:p>
    <w:p w14:paraId="2BD8594C">
      <w:pPr>
        <w:pStyle w:val="2"/>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kern w:val="2"/>
          <w:sz w:val="24"/>
          <w:highlight w:val="none"/>
          <w:lang w:val="en-US" w:eastAsia="zh-CN" w:bidi="ar-SA"/>
        </w:rPr>
      </w:pPr>
      <w:r>
        <w:rPr>
          <w:rFonts w:hint="eastAsia" w:ascii="仿宋" w:hAnsi="仿宋" w:eastAsia="仿宋" w:cs="仿宋"/>
          <w:b w:val="0"/>
          <w:bCs/>
          <w:kern w:val="2"/>
          <w:sz w:val="24"/>
          <w:highlight w:val="none"/>
          <w:lang w:val="en-US" w:eastAsia="zh-CN" w:bidi="ar-SA"/>
        </w:rPr>
        <w:t>（5）</w:t>
      </w:r>
      <w:r>
        <w:rPr>
          <w:rFonts w:hint="default" w:ascii="仿宋" w:hAnsi="仿宋" w:eastAsia="仿宋" w:cs="仿宋"/>
          <w:b w:val="0"/>
          <w:bCs/>
          <w:kern w:val="2"/>
          <w:sz w:val="24"/>
          <w:highlight w:val="none"/>
          <w:lang w:val="en-US" w:eastAsia="zh-CN" w:bidi="ar-SA"/>
        </w:rPr>
        <w:t>针对从业企业提供企业信息登记与发布、部省信息同步、用户名密码初始化等业务咨询和操作指导服务。</w:t>
      </w:r>
    </w:p>
    <w:p w14:paraId="4486B47E">
      <w:pPr>
        <w:pStyle w:val="10"/>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kern w:val="2"/>
          <w:sz w:val="24"/>
          <w:highlight w:val="none"/>
          <w:lang w:val="en-US" w:eastAsia="zh-CN" w:bidi="ar-SA"/>
        </w:rPr>
      </w:pPr>
      <w:r>
        <w:rPr>
          <w:rFonts w:hint="eastAsia" w:ascii="仿宋" w:hAnsi="仿宋" w:eastAsia="仿宋" w:cs="仿宋"/>
          <w:b w:val="0"/>
          <w:bCs/>
          <w:kern w:val="2"/>
          <w:sz w:val="24"/>
          <w:highlight w:val="none"/>
          <w:lang w:val="en-US" w:eastAsia="zh-CN" w:bidi="ar-SA"/>
        </w:rPr>
        <w:t>5.</w:t>
      </w:r>
      <w:r>
        <w:rPr>
          <w:rFonts w:hint="default" w:ascii="仿宋" w:hAnsi="仿宋" w:eastAsia="仿宋" w:cs="仿宋"/>
          <w:b w:val="0"/>
          <w:bCs/>
          <w:kern w:val="2"/>
          <w:sz w:val="24"/>
          <w:highlight w:val="none"/>
          <w:lang w:val="en-US" w:eastAsia="zh-CN" w:bidi="ar-SA"/>
        </w:rPr>
        <w:t>信用业务支持</w:t>
      </w:r>
    </w:p>
    <w:p w14:paraId="0C4B769E">
      <w:pPr>
        <w:pStyle w:val="10"/>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b w:val="0"/>
          <w:bCs/>
          <w:kern w:val="2"/>
          <w:sz w:val="24"/>
          <w:highlight w:val="none"/>
          <w:lang w:val="en-US" w:eastAsia="zh-CN" w:bidi="ar-SA"/>
        </w:rPr>
      </w:pPr>
      <w:r>
        <w:rPr>
          <w:rFonts w:hint="eastAsia" w:ascii="仿宋" w:hAnsi="仿宋" w:eastAsia="仿宋" w:cs="仿宋"/>
          <w:b w:val="0"/>
          <w:bCs/>
          <w:kern w:val="2"/>
          <w:sz w:val="24"/>
          <w:highlight w:val="none"/>
          <w:lang w:val="en-US" w:eastAsia="zh-CN" w:bidi="ar-SA"/>
        </w:rPr>
        <w:t>（1）</w:t>
      </w:r>
      <w:r>
        <w:rPr>
          <w:rFonts w:hint="default" w:ascii="仿宋" w:hAnsi="仿宋" w:eastAsia="仿宋" w:cs="仿宋"/>
          <w:b w:val="0"/>
          <w:bCs/>
          <w:kern w:val="2"/>
          <w:sz w:val="24"/>
          <w:highlight w:val="none"/>
          <w:lang w:val="en-US" w:eastAsia="zh-CN" w:bidi="ar-SA"/>
        </w:rPr>
        <w:t>准备信用交通考核材料、发布信用交通动态，以及每月上报公路建设、水路建设、道路运输、水路运输市场信用信息至部省共享交换平台；</w:t>
      </w:r>
    </w:p>
    <w:p w14:paraId="45F766C6">
      <w:pPr>
        <w:pStyle w:val="2"/>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kern w:val="2"/>
          <w:sz w:val="24"/>
          <w:highlight w:val="none"/>
          <w:lang w:val="en-US" w:eastAsia="zh-CN" w:bidi="ar-SA"/>
        </w:rPr>
      </w:pPr>
      <w:r>
        <w:rPr>
          <w:rFonts w:hint="eastAsia" w:ascii="仿宋" w:hAnsi="仿宋" w:eastAsia="仿宋" w:cs="仿宋"/>
          <w:b w:val="0"/>
          <w:bCs/>
          <w:kern w:val="2"/>
          <w:sz w:val="24"/>
          <w:highlight w:val="none"/>
          <w:lang w:val="en-US" w:eastAsia="zh-CN" w:bidi="ar-SA"/>
        </w:rPr>
        <w:t>（2）</w:t>
      </w:r>
      <w:r>
        <w:rPr>
          <w:rFonts w:hint="default" w:ascii="仿宋" w:hAnsi="仿宋" w:eastAsia="仿宋" w:cs="仿宋"/>
          <w:b w:val="0"/>
          <w:bCs/>
          <w:kern w:val="2"/>
          <w:sz w:val="24"/>
          <w:highlight w:val="none"/>
          <w:lang w:val="en-US" w:eastAsia="zh-CN" w:bidi="ar-SA"/>
        </w:rPr>
        <w:t>配合省厅主管业务处室通过省评价系统组织开展信用评价工作，协助汇总统计综合评价结果；协助汇总公示申诉信息并配合核查相关申诉材料。</w:t>
      </w:r>
    </w:p>
    <w:p w14:paraId="78391155">
      <w:pPr>
        <w:pStyle w:val="2"/>
        <w:rPr>
          <w:rFonts w:hint="eastAsia"/>
        </w:rPr>
      </w:pPr>
    </w:p>
    <w:p w14:paraId="01622418">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七、项目实施地点</w:t>
      </w:r>
    </w:p>
    <w:p w14:paraId="554CC381">
      <w:pPr>
        <w:spacing w:line="500" w:lineRule="exact"/>
        <w:rPr>
          <w:rFonts w:hint="default"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 xml:space="preserve">    </w:t>
      </w:r>
      <w:r>
        <w:rPr>
          <w:rFonts w:hint="eastAsia" w:ascii="仿宋" w:hAnsi="仿宋" w:eastAsia="仿宋" w:cs="仿宋"/>
          <w:sz w:val="24"/>
          <w:szCs w:val="24"/>
          <w:highlight w:val="none"/>
          <w:lang w:val="en-US" w:eastAsia="zh-CN"/>
        </w:rPr>
        <w:t>甲方指定地点</w:t>
      </w:r>
    </w:p>
    <w:p w14:paraId="41BB6865">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八、双方的责任义务</w:t>
      </w:r>
    </w:p>
    <w:p w14:paraId="1995520E">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1.乙方服务内容应与政府采购招投标文件及本合同所指明的服务内容相一致，确保本项目正常交付使用，并负责后期服务。</w:t>
      </w:r>
    </w:p>
    <w:p w14:paraId="734196CB">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2.甲方应按合同约定的付款方式向乙方支付相关费用。</w:t>
      </w:r>
    </w:p>
    <w:p w14:paraId="0ED69319">
      <w:pPr>
        <w:pStyle w:val="7"/>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sz w:val="24"/>
          <w:szCs w:val="24"/>
          <w:highlight w:val="none"/>
        </w:rPr>
        <w:t>3</w:t>
      </w:r>
      <w:r>
        <w:rPr>
          <w:rFonts w:ascii="仿宋" w:hAnsi="仿宋" w:eastAsia="仿宋"/>
          <w:sz w:val="24"/>
          <w:szCs w:val="24"/>
          <w:highlight w:val="none"/>
        </w:rPr>
        <w:t>.</w:t>
      </w:r>
      <w:r>
        <w:rPr>
          <w:rFonts w:ascii="仿宋" w:hAnsi="仿宋" w:eastAsia="仿宋" w:cs="宋体"/>
          <w:sz w:val="24"/>
          <w:szCs w:val="24"/>
          <w:highlight w:val="none"/>
        </w:rPr>
        <w:t>如需乙方提供现场支持服务的，甲方应当尽合理努力为乙方提供办公场所、网络等便利条件</w:t>
      </w:r>
      <w:r>
        <w:rPr>
          <w:rFonts w:hint="eastAsia" w:ascii="仿宋" w:hAnsi="仿宋" w:eastAsia="仿宋" w:cs="宋体"/>
          <w:sz w:val="24"/>
          <w:szCs w:val="24"/>
          <w:highlight w:val="none"/>
        </w:rPr>
        <w:t>。</w:t>
      </w:r>
    </w:p>
    <w:p w14:paraId="0E9FFE3E">
      <w:pPr>
        <w:pStyle w:val="7"/>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4</w:t>
      </w:r>
      <w:r>
        <w:rPr>
          <w:rFonts w:ascii="仿宋" w:hAnsi="仿宋" w:eastAsia="仿宋" w:cs="宋体"/>
          <w:sz w:val="24"/>
          <w:szCs w:val="24"/>
          <w:highlight w:val="none"/>
        </w:rPr>
        <w:t>.</w:t>
      </w:r>
      <w:r>
        <w:rPr>
          <w:rFonts w:hint="eastAsia" w:ascii="仿宋" w:hAnsi="仿宋" w:eastAsia="仿宋" w:cs="宋体"/>
          <w:sz w:val="24"/>
          <w:szCs w:val="24"/>
          <w:highlight w:val="none"/>
        </w:rPr>
        <w:t>乙方确认，</w:t>
      </w:r>
      <w:r>
        <w:rPr>
          <w:rFonts w:ascii="仿宋" w:hAnsi="仿宋" w:eastAsia="仿宋" w:cs="宋体"/>
          <w:sz w:val="24"/>
          <w:szCs w:val="24"/>
          <w:highlight w:val="none"/>
        </w:rPr>
        <w:t>甲乙双方不建立劳务派遣关系或类似关系，乙方应向其员工承担用人单位的全部责任</w:t>
      </w:r>
      <w:r>
        <w:rPr>
          <w:rFonts w:hint="eastAsia" w:ascii="仿宋" w:hAnsi="仿宋" w:eastAsia="仿宋" w:cs="宋体"/>
          <w:sz w:val="24"/>
          <w:szCs w:val="24"/>
          <w:highlight w:val="none"/>
        </w:rPr>
        <w:t>。</w:t>
      </w:r>
      <w:r>
        <w:rPr>
          <w:rFonts w:ascii="仿宋" w:hAnsi="仿宋" w:eastAsia="仿宋" w:cs="宋体"/>
          <w:sz w:val="24"/>
          <w:szCs w:val="24"/>
          <w:highlight w:val="none"/>
        </w:rPr>
        <w:t>乙方应与其员工签署劳动合同，依法缴纳社会保险，对员工承担用人单位的全部法定责任。</w:t>
      </w:r>
    </w:p>
    <w:p w14:paraId="426F2FEC">
      <w:pPr>
        <w:pStyle w:val="7"/>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乙方员工工作期间受到伤害或发生安全责任事故的，由乙方负责处理，并由乙方承担全部法律责任。</w:t>
      </w:r>
    </w:p>
    <w:p w14:paraId="419D575A">
      <w:pPr>
        <w:pStyle w:val="7"/>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5</w:t>
      </w:r>
      <w:r>
        <w:rPr>
          <w:rFonts w:ascii="仿宋" w:hAnsi="仿宋" w:eastAsia="仿宋" w:cs="宋体"/>
          <w:sz w:val="24"/>
          <w:szCs w:val="24"/>
          <w:highlight w:val="none"/>
        </w:rPr>
        <w:t>.甲方不对乙方员工承担任何用人单位或劳务派遣用工单位的责任。无论因任何原因导致甲方向乙方员工或雇员承担任何责任的，甲方有权向乙方追偿。</w:t>
      </w:r>
    </w:p>
    <w:p w14:paraId="01A23366">
      <w:pPr>
        <w:pStyle w:val="7"/>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6</w:t>
      </w:r>
      <w:r>
        <w:rPr>
          <w:rFonts w:ascii="仿宋" w:hAnsi="仿宋" w:eastAsia="仿宋" w:cs="宋体"/>
          <w:sz w:val="24"/>
          <w:szCs w:val="24"/>
          <w:highlight w:val="none"/>
        </w:rPr>
        <w:t>.甲乙双方不构成代理关系，乙方不得以甲方名义对外签署或发布任何文件、制度等。</w:t>
      </w:r>
    </w:p>
    <w:p w14:paraId="6D6A06D5">
      <w:pPr>
        <w:pStyle w:val="7"/>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7、乙方应勤勉敬业履行自身义务，及时、有预判性的处理好项目中的工作，不得因自身工作不到位影响设备正常运行，进而影响到甲方工作。如遇到需要紧急处理事宜，乙方应无条件配合甲方予以处理。</w:t>
      </w:r>
    </w:p>
    <w:p w14:paraId="56ED4119">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九、验收</w:t>
      </w:r>
    </w:p>
    <w:p w14:paraId="592C14E0">
      <w:pPr>
        <w:pStyle w:val="7"/>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服务期满，经甲方验收合格后，确定项目完成。</w:t>
      </w:r>
    </w:p>
    <w:p w14:paraId="0F5D16F4">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十、保密</w:t>
      </w:r>
    </w:p>
    <w:p w14:paraId="7DEC4DA4">
      <w:pPr>
        <w:tabs>
          <w:tab w:val="left" w:pos="1080"/>
        </w:tabs>
        <w:spacing w:line="360" w:lineRule="auto"/>
        <w:ind w:firstLine="360" w:firstLineChars="150"/>
        <w:rPr>
          <w:rFonts w:ascii="仿宋" w:hAnsi="仿宋" w:eastAsia="仿宋" w:cs="仿宋"/>
          <w:sz w:val="24"/>
          <w:szCs w:val="24"/>
          <w:highlight w:val="none"/>
        </w:rPr>
      </w:pPr>
      <w:r>
        <w:rPr>
          <w:rFonts w:hint="eastAsia" w:ascii="仿宋" w:hAnsi="仿宋" w:eastAsia="仿宋" w:cs="仿宋"/>
          <w:sz w:val="24"/>
          <w:szCs w:val="24"/>
          <w:highlight w:val="none"/>
        </w:rPr>
        <w:t>对工作中了解到的甲方的技术、机密等进行严格保密，不得向他人泄漏。本合同的解除或终止不免除乙方应承担的保密义务。</w:t>
      </w:r>
    </w:p>
    <w:p w14:paraId="766A5240">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十一、知识产权</w:t>
      </w:r>
    </w:p>
    <w:p w14:paraId="24FD6C04">
      <w:pPr>
        <w:adjustRightInd w:val="0"/>
        <w:spacing w:line="360" w:lineRule="auto"/>
        <w:ind w:firstLine="480" w:firstLineChars="200"/>
        <w:rPr>
          <w:rFonts w:ascii="仿宋" w:hAnsi="仿宋" w:eastAsia="仿宋" w:cs="仿宋"/>
          <w:sz w:val="24"/>
          <w:szCs w:val="24"/>
          <w:highlight w:val="none"/>
        </w:rPr>
      </w:pPr>
      <w:r>
        <w:rPr>
          <w:rFonts w:ascii="仿宋" w:hAnsi="仿宋" w:eastAsia="仿宋" w:cs="仿宋"/>
          <w:sz w:val="24"/>
          <w:szCs w:val="24"/>
          <w:highlight w:val="none"/>
        </w:rPr>
        <w:t>1.</w:t>
      </w:r>
      <w:r>
        <w:rPr>
          <w:rFonts w:hint="eastAsia" w:ascii="仿宋" w:hAnsi="仿宋" w:eastAsia="仿宋" w:cs="仿宋"/>
          <w:sz w:val="24"/>
          <w:szCs w:val="24"/>
          <w:highlight w:val="none"/>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675E9B40">
      <w:pPr>
        <w:pStyle w:val="7"/>
        <w:adjustRightInd w:val="0"/>
        <w:spacing w:beforeAutospacing="0" w:afterAutospacing="0" w:line="360" w:lineRule="auto"/>
        <w:ind w:firstLine="480" w:firstLineChars="200"/>
        <w:rPr>
          <w:rFonts w:ascii="仿宋" w:hAnsi="仿宋" w:eastAsia="仿宋" w:cs="宋体"/>
          <w:sz w:val="24"/>
          <w:szCs w:val="24"/>
          <w:highlight w:val="none"/>
        </w:rPr>
      </w:pPr>
      <w:r>
        <w:rPr>
          <w:rFonts w:ascii="仿宋" w:hAnsi="仿宋" w:eastAsia="仿宋"/>
          <w:sz w:val="24"/>
          <w:szCs w:val="24"/>
          <w:highlight w:val="none"/>
        </w:rPr>
        <w:t>2.</w:t>
      </w:r>
      <w:r>
        <w:rPr>
          <w:rFonts w:ascii="仿宋" w:hAnsi="仿宋" w:eastAsia="仿宋" w:cs="宋体"/>
          <w:sz w:val="24"/>
          <w:szCs w:val="24"/>
          <w:highlight w:val="none"/>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6C972207">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十二、合同争议的解决</w:t>
      </w:r>
    </w:p>
    <w:p w14:paraId="28C7B603">
      <w:pPr>
        <w:tabs>
          <w:tab w:val="left" w:pos="498"/>
        </w:tabs>
        <w:spacing w:line="500" w:lineRule="exact"/>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合同执行中发生争议的，当事人双方应协商解决，协商达不成一致时，可向甲方所在地人民法院提请诉讼。</w:t>
      </w:r>
    </w:p>
    <w:p w14:paraId="639F5699">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十三、不可抗力情况下的免责约定</w:t>
      </w:r>
    </w:p>
    <w:p w14:paraId="39CB1DEA">
      <w:pPr>
        <w:tabs>
          <w:tab w:val="left" w:pos="498"/>
        </w:tabs>
        <w:spacing w:line="500" w:lineRule="exact"/>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双方约定在以下不可抗力情况下互不承担责任，共同协商解决。双方不可预见、不可避免、不可克服的客观情况，但不包括双方的违约或疏忽，这些事件包括但不限于：战争、严重火灾、洪水、台风、地震等。</w:t>
      </w:r>
    </w:p>
    <w:p w14:paraId="36E73B55">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十四、终止合同</w:t>
      </w:r>
    </w:p>
    <w:p w14:paraId="0A948157">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除本合同约定，合同一经签订，不得擅自变更、中止或者终止合同。对确需变更、调整或者中止、终止合同的，应按规定履行相应的手续。</w:t>
      </w:r>
    </w:p>
    <w:p w14:paraId="6BFF893F">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十五、违约责任</w:t>
      </w:r>
    </w:p>
    <w:p w14:paraId="3D61D1E9">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1.按《中华人民共和国民法典》中的相关条款和本合同的约定执行。</w:t>
      </w:r>
    </w:p>
    <w:p w14:paraId="669C5AF5">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2.未按合同或政府采购招投标文件要求提供产品、服务，或供应的产品、服务质量不能满足甲方技术要求，经书面告知在合理期限内整改但仍不予调整的，甲方有权终止合同，并有权对乙方违约行为进行追究。</w:t>
      </w:r>
    </w:p>
    <w:p w14:paraId="3AA8F296">
      <w:pPr>
        <w:pStyle w:val="7"/>
        <w:spacing w:beforeAutospacing="0" w:afterAutospacing="0" w:line="360" w:lineRule="auto"/>
        <w:ind w:firstLine="480" w:firstLineChars="200"/>
        <w:rPr>
          <w:rFonts w:ascii="仿宋" w:hAnsi="仿宋" w:eastAsia="仿宋" w:cs="宋体"/>
          <w:sz w:val="24"/>
          <w:szCs w:val="24"/>
          <w:highlight w:val="none"/>
        </w:rPr>
      </w:pPr>
      <w:r>
        <w:rPr>
          <w:rFonts w:ascii="仿宋" w:hAnsi="仿宋" w:eastAsia="仿宋"/>
          <w:sz w:val="24"/>
          <w:szCs w:val="24"/>
          <w:highlight w:val="none"/>
        </w:rPr>
        <w:t>3.</w:t>
      </w:r>
      <w:r>
        <w:rPr>
          <w:rFonts w:ascii="仿宋" w:hAnsi="仿宋" w:eastAsia="仿宋" w:cs="宋体"/>
          <w:sz w:val="24"/>
          <w:szCs w:val="24"/>
          <w:highlight w:val="none"/>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52FEB752">
      <w:pPr>
        <w:tabs>
          <w:tab w:val="left" w:pos="1080"/>
        </w:tabs>
        <w:spacing w:line="360" w:lineRule="auto"/>
        <w:ind w:firstLine="480" w:firstLineChars="200"/>
        <w:outlineLvl w:val="1"/>
        <w:rPr>
          <w:rFonts w:ascii="仿宋" w:hAnsi="仿宋" w:eastAsia="仿宋" w:cs="宋体"/>
          <w:kern w:val="0"/>
          <w:sz w:val="24"/>
          <w:szCs w:val="24"/>
          <w:highlight w:val="none"/>
        </w:rPr>
      </w:pPr>
      <w:bookmarkStart w:id="1" w:name="_Toc514246054"/>
      <w:r>
        <w:rPr>
          <w:rFonts w:hint="eastAsia" w:ascii="仿宋" w:hAnsi="仿宋" w:eastAsia="仿宋" w:cs="宋体"/>
          <w:kern w:val="0"/>
          <w:sz w:val="24"/>
          <w:szCs w:val="24"/>
          <w:highlight w:val="none"/>
        </w:rPr>
        <w:t>4.甲方的违约责任</w:t>
      </w:r>
      <w:bookmarkEnd w:id="1"/>
    </w:p>
    <w:p w14:paraId="3E9B0905">
      <w:pPr>
        <w:spacing w:line="360" w:lineRule="auto"/>
        <w:ind w:firstLine="480" w:firstLineChars="200"/>
        <w:rPr>
          <w:rFonts w:ascii="仿宋" w:hAnsi="仿宋" w:eastAsia="仿宋" w:cs="宋体"/>
          <w:kern w:val="0"/>
          <w:sz w:val="24"/>
          <w:szCs w:val="24"/>
          <w:highlight w:val="none"/>
        </w:rPr>
      </w:pPr>
      <w:bookmarkStart w:id="2" w:name="_Toc514246055"/>
      <w:r>
        <w:rPr>
          <w:rFonts w:hint="eastAsia" w:ascii="仿宋" w:hAnsi="仿宋" w:eastAsia="仿宋" w:cs="宋体"/>
          <w:kern w:val="0"/>
          <w:sz w:val="24"/>
          <w:szCs w:val="24"/>
          <w:highlight w:val="none"/>
        </w:rPr>
        <w:t>甲方因自身原因不按合同约定向乙方付款，每逾期一天，须按迟延付款额的</w:t>
      </w:r>
      <w:r>
        <w:rPr>
          <w:rFonts w:hint="eastAsia" w:ascii="仿宋" w:hAnsi="仿宋" w:eastAsia="仿宋" w:cs="宋体"/>
          <w:kern w:val="0"/>
          <w:sz w:val="24"/>
          <w:szCs w:val="24"/>
          <w:highlight w:val="none"/>
          <w:u w:val="single"/>
        </w:rPr>
        <w:t>_0.01%_</w:t>
      </w:r>
      <w:bookmarkEnd w:id="2"/>
      <w:bookmarkStart w:id="3" w:name="_Toc514246056"/>
      <w:r>
        <w:rPr>
          <w:rFonts w:hint="eastAsia" w:ascii="仿宋" w:hAnsi="仿宋" w:eastAsia="仿宋" w:cs="宋体"/>
          <w:kern w:val="0"/>
          <w:sz w:val="24"/>
          <w:szCs w:val="24"/>
          <w:highlight w:val="none"/>
        </w:rPr>
        <w:t>向乙方支付延期付款的违约金。</w:t>
      </w:r>
      <w:bookmarkEnd w:id="3"/>
    </w:p>
    <w:p w14:paraId="2CFAB7B9">
      <w:pPr>
        <w:tabs>
          <w:tab w:val="left" w:pos="1080"/>
        </w:tabs>
        <w:spacing w:line="360" w:lineRule="auto"/>
        <w:ind w:firstLine="480" w:firstLineChars="200"/>
        <w:outlineLvl w:val="1"/>
        <w:rPr>
          <w:rFonts w:ascii="仿宋" w:hAnsi="仿宋" w:eastAsia="仿宋" w:cs="宋体"/>
          <w:kern w:val="0"/>
          <w:sz w:val="24"/>
          <w:szCs w:val="24"/>
          <w:highlight w:val="none"/>
        </w:rPr>
      </w:pPr>
      <w:bookmarkStart w:id="4" w:name="_Toc514246057"/>
      <w:r>
        <w:rPr>
          <w:rFonts w:hint="eastAsia" w:ascii="仿宋" w:hAnsi="仿宋" w:eastAsia="仿宋" w:cs="宋体"/>
          <w:kern w:val="0"/>
          <w:sz w:val="24"/>
          <w:szCs w:val="24"/>
          <w:highlight w:val="none"/>
        </w:rPr>
        <w:t>甲方不按照合同约定提供相关资料及其它协作事项的，应提前7个日历天书面通知乙方，项目完成时间予以顺延。</w:t>
      </w:r>
      <w:bookmarkEnd w:id="4"/>
    </w:p>
    <w:p w14:paraId="62299E54">
      <w:pPr>
        <w:tabs>
          <w:tab w:val="left" w:pos="1080"/>
        </w:tabs>
        <w:wordWrap w:val="0"/>
        <w:spacing w:line="360" w:lineRule="auto"/>
        <w:ind w:left="719" w:leftChars="228" w:hanging="240" w:hangingChars="100"/>
        <w:outlineLvl w:val="1"/>
        <w:rPr>
          <w:rFonts w:ascii="仿宋" w:hAnsi="仿宋" w:eastAsia="仿宋" w:cs="宋体"/>
          <w:kern w:val="0"/>
          <w:sz w:val="24"/>
          <w:szCs w:val="24"/>
          <w:highlight w:val="none"/>
        </w:rPr>
      </w:pPr>
      <w:bookmarkStart w:id="5" w:name="_Toc514246058"/>
      <w:r>
        <w:rPr>
          <w:rFonts w:hint="eastAsia" w:ascii="仿宋" w:hAnsi="仿宋" w:eastAsia="仿宋" w:cs="宋体"/>
          <w:kern w:val="0"/>
          <w:sz w:val="24"/>
          <w:szCs w:val="24"/>
          <w:highlight w:val="none"/>
        </w:rPr>
        <w:t>5.乙方的违约责任</w:t>
      </w:r>
      <w:bookmarkEnd w:id="5"/>
      <w:bookmarkStart w:id="6" w:name="_Toc514246060"/>
    </w:p>
    <w:p w14:paraId="2A93E8CB">
      <w:pPr>
        <w:tabs>
          <w:tab w:val="left" w:pos="1080"/>
        </w:tabs>
        <w:wordWrap w:val="0"/>
        <w:spacing w:line="360" w:lineRule="auto"/>
        <w:ind w:left="19" w:leftChars="9" w:firstLine="458" w:firstLineChars="191"/>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乙方未按照本合同约定保质保量提供产品或服务，经甲方催告后履行仍不符合合同约定的，甲方有权解除本合同，同时有权要求乙方按照合同价款的</w:t>
      </w:r>
      <w:r>
        <w:rPr>
          <w:rFonts w:hint="eastAsia" w:ascii="仿宋" w:hAnsi="仿宋" w:eastAsia="仿宋" w:cs="宋体"/>
          <w:kern w:val="0"/>
          <w:sz w:val="24"/>
          <w:szCs w:val="24"/>
          <w:highlight w:val="none"/>
          <w:u w:val="single"/>
        </w:rPr>
        <w:t>10%</w:t>
      </w:r>
      <w:r>
        <w:rPr>
          <w:rFonts w:hint="eastAsia" w:ascii="仿宋" w:hAnsi="仿宋" w:eastAsia="仿宋" w:cs="宋体"/>
          <w:kern w:val="0"/>
          <w:sz w:val="24"/>
          <w:szCs w:val="24"/>
          <w:highlight w:val="none"/>
        </w:rPr>
        <w:t>承担违约金。甲方维权支付的诉讼费、保全费、律师费等费用由乙方承担。</w:t>
      </w:r>
    </w:p>
    <w:p w14:paraId="41CF0922">
      <w:pPr>
        <w:tabs>
          <w:tab w:val="left" w:pos="1080"/>
        </w:tabs>
        <w:wordWrap w:val="0"/>
        <w:spacing w:line="360" w:lineRule="auto"/>
        <w:ind w:left="19" w:leftChars="9" w:firstLine="458" w:firstLineChars="191"/>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宋体"/>
          <w:kern w:val="0"/>
          <w:sz w:val="24"/>
          <w:szCs w:val="24"/>
          <w:highlight w:val="none"/>
          <w:u w:val="single"/>
        </w:rPr>
        <w:t xml:space="preserve"> 0.03% </w:t>
      </w:r>
      <w:r>
        <w:rPr>
          <w:rFonts w:hint="eastAsia" w:ascii="仿宋" w:hAnsi="仿宋" w:eastAsia="仿宋" w:cs="宋体"/>
          <w:kern w:val="0"/>
          <w:sz w:val="24"/>
          <w:szCs w:val="24"/>
          <w:highlight w:val="none"/>
        </w:rPr>
        <w:t>向甲方支付违约金。</w:t>
      </w:r>
    </w:p>
    <w:p w14:paraId="393C5133">
      <w:pPr>
        <w:tabs>
          <w:tab w:val="left" w:pos="1080"/>
        </w:tabs>
        <w:spacing w:line="360" w:lineRule="auto"/>
        <w:ind w:firstLine="480" w:firstLineChars="200"/>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宋体"/>
          <w:kern w:val="0"/>
          <w:sz w:val="24"/>
          <w:szCs w:val="24"/>
          <w:highlight w:val="none"/>
          <w:u w:val="single"/>
        </w:rPr>
        <w:t>0.03%</w:t>
      </w:r>
      <w:r>
        <w:rPr>
          <w:rFonts w:hint="eastAsia" w:ascii="仿宋" w:hAnsi="仿宋" w:eastAsia="仿宋" w:cs="宋体"/>
          <w:kern w:val="0"/>
          <w:sz w:val="24"/>
          <w:szCs w:val="24"/>
          <w:highlight w:val="none"/>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，但甲方的实际损失超过合同总金额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的，乙方应当承担补足责任。</w:t>
      </w:r>
      <w:bookmarkEnd w:id="6"/>
      <w:bookmarkStart w:id="7" w:name="_Toc514246062"/>
    </w:p>
    <w:p w14:paraId="4C2F30E1">
      <w:pPr>
        <w:tabs>
          <w:tab w:val="left" w:pos="1080"/>
        </w:tabs>
        <w:spacing w:line="360" w:lineRule="auto"/>
        <w:ind w:firstLine="480" w:firstLineChars="200"/>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甲乙双方任何一方违反保密义务的，违约方应向对方支付合同总金额</w:t>
      </w:r>
      <w:r>
        <w:rPr>
          <w:rFonts w:hint="eastAsia" w:ascii="仿宋" w:hAnsi="仿宋" w:eastAsia="仿宋" w:cs="宋体"/>
          <w:kern w:val="0"/>
          <w:sz w:val="24"/>
          <w:szCs w:val="24"/>
          <w:highlight w:val="none"/>
          <w:u w:val="single"/>
        </w:rPr>
        <w:t>10%</w:t>
      </w:r>
      <w:r>
        <w:rPr>
          <w:rFonts w:hint="eastAsia" w:ascii="仿宋" w:hAnsi="仿宋" w:eastAsia="仿宋" w:cs="宋体"/>
          <w:kern w:val="0"/>
          <w:sz w:val="24"/>
          <w:szCs w:val="24"/>
          <w:highlight w:val="none"/>
        </w:rPr>
        <w:t>的违约金，违约金不足以弥补对方损失的还应当承担补足责任。</w:t>
      </w:r>
      <w:bookmarkEnd w:id="7"/>
    </w:p>
    <w:p w14:paraId="0FF4ACCF">
      <w:pPr>
        <w:tabs>
          <w:tab w:val="left" w:pos="1080"/>
        </w:tabs>
        <w:spacing w:line="360" w:lineRule="auto"/>
        <w:ind w:firstLine="480" w:firstLineChars="200"/>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宋体"/>
          <w:kern w:val="0"/>
          <w:sz w:val="24"/>
          <w:szCs w:val="24"/>
          <w:highlight w:val="none"/>
          <w:u w:val="single"/>
        </w:rPr>
        <w:t>10%</w:t>
      </w:r>
      <w:r>
        <w:rPr>
          <w:rFonts w:hint="eastAsia" w:ascii="仿宋" w:hAnsi="仿宋" w:eastAsia="仿宋" w:cs="宋体"/>
          <w:kern w:val="0"/>
          <w:sz w:val="24"/>
          <w:szCs w:val="24"/>
          <w:highlight w:val="none"/>
        </w:rPr>
        <w:t>支付违约金。若甲方全部终止合同的，乙方应按合同总金额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的支付违约金。同时甲方的实际损失超过合同总金额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的，乙方应当承担补足责任。</w:t>
      </w:r>
    </w:p>
    <w:p w14:paraId="265BFFB4">
      <w:pPr>
        <w:tabs>
          <w:tab w:val="left" w:pos="1080"/>
        </w:tabs>
        <w:spacing w:line="360" w:lineRule="auto"/>
        <w:ind w:firstLine="480" w:firstLineChars="200"/>
        <w:outlineLvl w:val="1"/>
        <w:rPr>
          <w:rFonts w:ascii="仿宋" w:hAnsi="仿宋" w:eastAsia="仿宋" w:cs="宋体"/>
          <w:kern w:val="0"/>
          <w:sz w:val="24"/>
          <w:szCs w:val="24"/>
          <w:highlight w:val="none"/>
        </w:rPr>
      </w:pPr>
      <w:bookmarkStart w:id="8" w:name="_Toc514246063"/>
      <w:r>
        <w:rPr>
          <w:rFonts w:hint="eastAsia" w:ascii="仿宋" w:hAnsi="仿宋" w:eastAsia="仿宋" w:cs="宋体"/>
          <w:kern w:val="0"/>
          <w:sz w:val="24"/>
          <w:szCs w:val="24"/>
          <w:highlight w:val="none"/>
        </w:rPr>
        <w:t>乙方违反合同约定的其它责任、义务视为违约，需向甲方支付合同总价款的</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违约金。</w:t>
      </w:r>
      <w:bookmarkEnd w:id="8"/>
      <w:r>
        <w:rPr>
          <w:rFonts w:hint="eastAsia" w:ascii="仿宋" w:hAnsi="仿宋" w:eastAsia="仿宋" w:cs="宋体"/>
          <w:kern w:val="0"/>
          <w:sz w:val="24"/>
          <w:szCs w:val="24"/>
          <w:highlight w:val="none"/>
        </w:rPr>
        <w:t>同时甲方的实际损失超过合同总金额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的，乙方应当承担补足责任。</w:t>
      </w:r>
    </w:p>
    <w:p w14:paraId="3B430582">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十六、反商业贿赂</w:t>
      </w:r>
    </w:p>
    <w:p w14:paraId="1E41FCE7">
      <w:pPr>
        <w:pStyle w:val="7"/>
        <w:spacing w:beforeAutospacing="0" w:afterAutospacing="0" w:line="360" w:lineRule="auto"/>
        <w:ind w:firstLine="480" w:firstLineChars="200"/>
        <w:rPr>
          <w:rFonts w:ascii="仿宋" w:hAnsi="仿宋" w:eastAsia="仿宋" w:cs="宋体"/>
          <w:sz w:val="24"/>
          <w:szCs w:val="24"/>
          <w:highlight w:val="none"/>
        </w:rPr>
      </w:pPr>
      <w:r>
        <w:rPr>
          <w:rFonts w:ascii="仿宋" w:hAnsi="仿宋" w:eastAsia="仿宋" w:cs="宋体"/>
          <w:sz w:val="24"/>
          <w:szCs w:val="24"/>
          <w:highlight w:val="none"/>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618B7428">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十七、其他</w:t>
      </w:r>
    </w:p>
    <w:p w14:paraId="1D62C2D6">
      <w:pPr>
        <w:tabs>
          <w:tab w:val="left" w:pos="980"/>
        </w:tabs>
        <w:kinsoku w:val="0"/>
        <w:spacing w:line="500" w:lineRule="exact"/>
        <w:ind w:firstLine="480" w:firstLineChars="200"/>
        <w:rPr>
          <w:rFonts w:ascii="仿宋" w:hAnsi="仿宋" w:eastAsia="仿宋"/>
          <w:sz w:val="24"/>
          <w:szCs w:val="24"/>
          <w:highlight w:val="none"/>
        </w:rPr>
      </w:pPr>
      <w:r>
        <w:rPr>
          <w:rFonts w:hint="eastAsia" w:ascii="仿宋" w:hAnsi="仿宋" w:eastAsia="仿宋" w:cs="仿宋"/>
          <w:sz w:val="24"/>
          <w:szCs w:val="24"/>
          <w:highlight w:val="none"/>
        </w:rPr>
        <w:t>1.本合同签订时同步签订保密协议,详见附件。附件是本合同的一部分，具有与本合同同等的法律效力。</w:t>
      </w:r>
    </w:p>
    <w:p w14:paraId="70EA599E">
      <w:pPr>
        <w:tabs>
          <w:tab w:val="left" w:pos="980"/>
        </w:tabs>
        <w:kinsoku w:val="0"/>
        <w:spacing w:line="500" w:lineRule="exact"/>
        <w:ind w:firstLine="480" w:firstLineChars="200"/>
        <w:rPr>
          <w:rFonts w:ascii="仿宋" w:hAnsi="仿宋" w:eastAsia="仿宋"/>
          <w:sz w:val="24"/>
          <w:szCs w:val="24"/>
          <w:highlight w:val="none"/>
        </w:rPr>
      </w:pPr>
      <w:r>
        <w:rPr>
          <w:rFonts w:hint="eastAsia" w:ascii="仿宋" w:hAnsi="仿宋" w:eastAsia="仿宋" w:cs="仿宋"/>
          <w:sz w:val="24"/>
          <w:szCs w:val="24"/>
          <w:highlight w:val="none"/>
        </w:rPr>
        <w:t>2.本合同一式四份，具有同等法律效力，双方各执一份，监管部门备案一份、采购代理机构存档一份。各方签字盖章后生效。</w:t>
      </w:r>
    </w:p>
    <w:p w14:paraId="6B09A754">
      <w:pPr>
        <w:pStyle w:val="11"/>
        <w:ind w:firstLine="560"/>
        <w:rPr>
          <w:rFonts w:ascii="仿宋" w:hAnsi="仿宋" w:eastAsia="仿宋"/>
          <w:sz w:val="24"/>
          <w:szCs w:val="24"/>
          <w:highlight w:val="none"/>
        </w:rPr>
      </w:pPr>
    </w:p>
    <w:p w14:paraId="11FC7FD9">
      <w:pPr>
        <w:rPr>
          <w:rFonts w:ascii="仿宋" w:hAnsi="仿宋" w:eastAsia="仿宋"/>
          <w:sz w:val="24"/>
          <w:szCs w:val="24"/>
          <w:highlight w:val="none"/>
        </w:rPr>
      </w:pPr>
    </w:p>
    <w:p w14:paraId="27DA5CD5">
      <w:pPr>
        <w:adjustRightInd w:val="0"/>
        <w:snapToGrid w:val="0"/>
        <w:spacing w:line="540" w:lineRule="exact"/>
        <w:rPr>
          <w:rFonts w:ascii="仿宋" w:hAnsi="仿宋" w:eastAsia="仿宋" w:cs="仿宋"/>
          <w:sz w:val="24"/>
          <w:szCs w:val="24"/>
          <w:highlight w:val="none"/>
          <w:u w:val="single"/>
        </w:rPr>
      </w:pPr>
      <w:r>
        <w:rPr>
          <w:rFonts w:hint="eastAsia" w:ascii="仿宋" w:hAnsi="仿宋" w:eastAsia="仿宋" w:cs="仿宋"/>
          <w:sz w:val="24"/>
          <w:szCs w:val="24"/>
          <w:highlight w:val="none"/>
        </w:rPr>
        <w:t>采购人（甲方）：</w:t>
      </w:r>
      <w:r>
        <w:rPr>
          <w:rFonts w:hint="eastAsia" w:ascii="仿宋" w:hAnsi="仿宋" w:eastAsia="仿宋" w:cs="仿宋"/>
          <w:sz w:val="24"/>
          <w:szCs w:val="24"/>
          <w:highlight w:val="none"/>
          <w:u w:val="single"/>
        </w:rPr>
        <w:t xml:space="preserve">   （盖章）       </w:t>
      </w:r>
      <w:r>
        <w:rPr>
          <w:rFonts w:hint="eastAsia" w:ascii="仿宋" w:hAnsi="仿宋" w:eastAsia="仿宋" w:cs="仿宋"/>
          <w:sz w:val="24"/>
          <w:szCs w:val="24"/>
          <w:highlight w:val="none"/>
        </w:rPr>
        <w:t>供应商（乙方）：</w:t>
      </w:r>
      <w:r>
        <w:rPr>
          <w:rFonts w:hint="eastAsia" w:ascii="仿宋" w:hAnsi="仿宋" w:eastAsia="仿宋" w:cs="仿宋"/>
          <w:sz w:val="24"/>
          <w:szCs w:val="24"/>
          <w:highlight w:val="none"/>
          <w:u w:val="single"/>
        </w:rPr>
        <w:t xml:space="preserve">   （盖章）         </w:t>
      </w:r>
    </w:p>
    <w:p w14:paraId="3306F228">
      <w:pPr>
        <w:spacing w:line="540" w:lineRule="exact"/>
        <w:rPr>
          <w:rFonts w:ascii="仿宋" w:hAnsi="仿宋" w:eastAsia="仿宋" w:cs="仿宋"/>
          <w:sz w:val="24"/>
          <w:szCs w:val="24"/>
          <w:highlight w:val="none"/>
        </w:rPr>
      </w:pPr>
      <w:r>
        <w:rPr>
          <w:rFonts w:hint="eastAsia" w:ascii="仿宋" w:hAnsi="仿宋" w:eastAsia="仿宋" w:cs="仿宋"/>
          <w:sz w:val="24"/>
          <w:szCs w:val="24"/>
          <w:highlight w:val="none"/>
        </w:rPr>
        <w:t>地址：                           地址：</w:t>
      </w:r>
    </w:p>
    <w:p w14:paraId="51016A96">
      <w:pPr>
        <w:adjustRightInd w:val="0"/>
        <w:snapToGrid w:val="0"/>
        <w:spacing w:line="540" w:lineRule="exact"/>
        <w:rPr>
          <w:rFonts w:ascii="仿宋" w:hAnsi="仿宋" w:eastAsia="仿宋" w:cs="仿宋"/>
          <w:b/>
          <w:bCs/>
          <w:sz w:val="24"/>
          <w:szCs w:val="24"/>
          <w:highlight w:val="none"/>
        </w:rPr>
      </w:pPr>
      <w:r>
        <w:rPr>
          <w:rFonts w:hint="eastAsia" w:ascii="仿宋" w:hAnsi="仿宋" w:eastAsia="仿宋" w:cs="仿宋"/>
          <w:sz w:val="24"/>
          <w:szCs w:val="24"/>
          <w:highlight w:val="none"/>
        </w:rPr>
        <w:t>法定代表人或                     法定代表人或</w:t>
      </w:r>
    </w:p>
    <w:p w14:paraId="52C1C1BD">
      <w:pPr>
        <w:adjustRightInd w:val="0"/>
        <w:snapToGrid w:val="0"/>
        <w:spacing w:line="540" w:lineRule="exact"/>
        <w:rPr>
          <w:rFonts w:ascii="仿宋" w:hAnsi="仿宋" w:eastAsia="仿宋" w:cs="仿宋"/>
          <w:sz w:val="24"/>
          <w:szCs w:val="24"/>
          <w:highlight w:val="none"/>
        </w:rPr>
      </w:pPr>
      <w:r>
        <w:rPr>
          <w:rFonts w:hint="eastAsia" w:ascii="仿宋" w:hAnsi="仿宋" w:eastAsia="仿宋" w:cs="仿宋"/>
          <w:sz w:val="24"/>
          <w:szCs w:val="24"/>
          <w:highlight w:val="none"/>
        </w:rPr>
        <w:t>其授权的代理人                   其授权的代理人</w:t>
      </w:r>
    </w:p>
    <w:p w14:paraId="3A190546">
      <w:pPr>
        <w:adjustRightInd w:val="0"/>
        <w:snapToGrid w:val="0"/>
        <w:spacing w:line="540" w:lineRule="exact"/>
        <w:rPr>
          <w:rFonts w:ascii="仿宋" w:hAnsi="仿宋" w:eastAsia="仿宋" w:cs="仿宋"/>
          <w:sz w:val="24"/>
          <w:szCs w:val="24"/>
          <w:highlight w:val="none"/>
        </w:rPr>
      </w:pPr>
      <w:r>
        <w:rPr>
          <w:rFonts w:hint="eastAsia" w:ascii="仿宋" w:hAnsi="仿宋" w:eastAsia="仿宋" w:cs="仿宋"/>
          <w:sz w:val="24"/>
          <w:szCs w:val="24"/>
          <w:highlight w:val="none"/>
        </w:rPr>
        <w:t>（签字</w:t>
      </w:r>
      <w:r>
        <w:rPr>
          <w:rFonts w:ascii="仿宋" w:hAnsi="仿宋" w:eastAsia="仿宋" w:cs="仿宋"/>
          <w:sz w:val="24"/>
          <w:szCs w:val="24"/>
          <w:highlight w:val="none"/>
        </w:rPr>
        <w:t>或盖章</w:t>
      </w:r>
      <w:r>
        <w:rPr>
          <w:rFonts w:hint="eastAsia" w:ascii="仿宋" w:hAnsi="仿宋" w:eastAsia="仿宋" w:cs="仿宋"/>
          <w:sz w:val="24"/>
          <w:szCs w:val="24"/>
          <w:highlight w:val="none"/>
        </w:rPr>
        <w:t>）：                 （签字</w:t>
      </w:r>
      <w:r>
        <w:rPr>
          <w:rFonts w:ascii="仿宋" w:hAnsi="仿宋" w:eastAsia="仿宋" w:cs="仿宋"/>
          <w:sz w:val="24"/>
          <w:szCs w:val="24"/>
          <w:highlight w:val="none"/>
        </w:rPr>
        <w:t>或盖章</w:t>
      </w:r>
      <w:r>
        <w:rPr>
          <w:rFonts w:hint="eastAsia" w:ascii="仿宋" w:hAnsi="仿宋" w:eastAsia="仿宋" w:cs="仿宋"/>
          <w:sz w:val="24"/>
          <w:szCs w:val="24"/>
          <w:highlight w:val="none"/>
        </w:rPr>
        <w:t>）：</w:t>
      </w:r>
    </w:p>
    <w:p w14:paraId="56ABCFA4">
      <w:pPr>
        <w:pStyle w:val="10"/>
        <w:spacing w:line="360" w:lineRule="auto"/>
        <w:rPr>
          <w:rFonts w:hint="default" w:ascii="仿宋" w:hAnsi="仿宋" w:eastAsia="仿宋" w:cs="仿宋"/>
          <w:sz w:val="24"/>
          <w:szCs w:val="24"/>
          <w:highlight w:val="none"/>
        </w:rPr>
      </w:pPr>
      <w:r>
        <w:rPr>
          <w:rFonts w:ascii="仿宋" w:hAnsi="仿宋" w:eastAsia="仿宋" w:cs="仿宋"/>
          <w:sz w:val="24"/>
          <w:szCs w:val="24"/>
          <w:highlight w:val="none"/>
        </w:rPr>
        <w:t xml:space="preserve">订立时间： 年月日       </w:t>
      </w:r>
      <w:r>
        <w:rPr>
          <w:rFonts w:ascii="仿宋" w:hAnsi="仿宋" w:eastAsia="仿宋" w:cs="仿宋"/>
          <w:sz w:val="24"/>
          <w:szCs w:val="24"/>
          <w:highlight w:val="none"/>
          <w:lang w:eastAsia="zh-CN"/>
        </w:rPr>
        <w:t xml:space="preserve">   </w:t>
      </w:r>
      <w:r>
        <w:rPr>
          <w:rFonts w:ascii="仿宋" w:hAnsi="仿宋" w:eastAsia="仿宋" w:cs="仿宋"/>
          <w:sz w:val="24"/>
          <w:szCs w:val="24"/>
          <w:highlight w:val="none"/>
        </w:rPr>
        <w:t xml:space="preserve">      订立时间：年月日 </w:t>
      </w:r>
    </w:p>
    <w:p w14:paraId="309D1F0C">
      <w:pPr>
        <w:rPr>
          <w:rFonts w:ascii="仿宋" w:hAnsi="仿宋" w:eastAsia="仿宋" w:cs="仿宋"/>
          <w:sz w:val="24"/>
          <w:szCs w:val="24"/>
          <w:highlight w:val="none"/>
        </w:rPr>
      </w:pPr>
      <w:r>
        <w:rPr>
          <w:rFonts w:ascii="仿宋" w:hAnsi="仿宋" w:eastAsia="仿宋" w:cs="仿宋"/>
          <w:sz w:val="24"/>
          <w:szCs w:val="24"/>
          <w:highlight w:val="none"/>
        </w:rPr>
        <w:br w:type="page"/>
      </w:r>
    </w:p>
    <w:p w14:paraId="72C82DC7">
      <w:pPr>
        <w:pStyle w:val="2"/>
        <w:rPr>
          <w:rFonts w:ascii="仿宋" w:hAnsi="仿宋" w:eastAsia="仿宋" w:cs="黑体"/>
          <w:sz w:val="24"/>
          <w:szCs w:val="24"/>
          <w:highlight w:val="none"/>
        </w:rPr>
      </w:pPr>
      <w:r>
        <w:rPr>
          <w:rFonts w:hint="eastAsia" w:ascii="仿宋" w:hAnsi="仿宋" w:eastAsia="仿宋" w:cs="黑体"/>
          <w:sz w:val="24"/>
          <w:szCs w:val="24"/>
          <w:highlight w:val="none"/>
        </w:rPr>
        <w:t>附件：</w:t>
      </w:r>
    </w:p>
    <w:p w14:paraId="1C552B01">
      <w:pPr>
        <w:spacing w:before="3120" w:beforeLines="1000" w:after="5616" w:afterLines="1800"/>
        <w:jc w:val="center"/>
        <w:rPr>
          <w:rFonts w:ascii="仿宋" w:hAnsi="仿宋" w:eastAsia="仿宋"/>
          <w:b/>
          <w:sz w:val="36"/>
          <w:szCs w:val="36"/>
          <w:highlight w:val="none"/>
        </w:rPr>
      </w:pPr>
      <w:r>
        <w:rPr>
          <w:rFonts w:hint="eastAsia" w:ascii="仿宋" w:hAnsi="仿宋" w:eastAsia="仿宋"/>
          <w:b/>
          <w:sz w:val="36"/>
          <w:szCs w:val="36"/>
          <w:highlight w:val="none"/>
          <w:u w:val="single"/>
          <w:lang w:val="en-US" w:eastAsia="zh-CN"/>
        </w:rPr>
        <w:t>XXXX</w:t>
      </w:r>
      <w:r>
        <w:rPr>
          <w:rFonts w:hint="eastAsia" w:ascii="仿宋" w:hAnsi="仿宋" w:eastAsia="仿宋"/>
          <w:b/>
          <w:sz w:val="36"/>
          <w:szCs w:val="36"/>
          <w:highlight w:val="none"/>
        </w:rPr>
        <w:t>保密协议</w:t>
      </w:r>
    </w:p>
    <w:p w14:paraId="6D4AA80F">
      <w:pPr>
        <w:ind w:firstLine="1920" w:firstLineChars="800"/>
        <w:jc w:val="both"/>
        <w:rPr>
          <w:rFonts w:ascii="仿宋" w:hAnsi="仿宋" w:eastAsia="仿宋"/>
          <w:sz w:val="24"/>
          <w:szCs w:val="24"/>
          <w:highlight w:val="none"/>
        </w:rPr>
      </w:pPr>
      <w:r>
        <w:rPr>
          <w:rFonts w:hint="eastAsia" w:ascii="仿宋" w:hAnsi="仿宋" w:eastAsia="仿宋"/>
          <w:sz w:val="24"/>
          <w:szCs w:val="24"/>
          <w:highlight w:val="none"/>
        </w:rPr>
        <w:t>甲  方：</w:t>
      </w:r>
      <w:r>
        <w:rPr>
          <w:rFonts w:hint="eastAsia" w:ascii="仿宋" w:hAnsi="仿宋" w:eastAsia="仿宋"/>
          <w:sz w:val="24"/>
          <w:szCs w:val="24"/>
          <w:highlight w:val="none"/>
          <w:u w:val="single"/>
        </w:rPr>
        <w:t>陕西省交通运行监测中心</w:t>
      </w:r>
    </w:p>
    <w:p w14:paraId="46A8AC51">
      <w:pPr>
        <w:spacing w:line="360" w:lineRule="auto"/>
        <w:ind w:firstLine="1920" w:firstLineChars="800"/>
        <w:rPr>
          <w:rFonts w:ascii="仿宋" w:hAnsi="仿宋" w:eastAsia="仿宋" w:cs="仿宋"/>
          <w:sz w:val="24"/>
          <w:szCs w:val="24"/>
          <w:highlight w:val="none"/>
        </w:rPr>
      </w:pPr>
      <w:r>
        <w:rPr>
          <w:rFonts w:hint="eastAsia" w:ascii="仿宋" w:hAnsi="仿宋" w:eastAsia="仿宋"/>
          <w:sz w:val="24"/>
          <w:szCs w:val="24"/>
          <w:highlight w:val="none"/>
        </w:rPr>
        <w:t>乙  方：</w:t>
      </w:r>
      <w:r>
        <w:rPr>
          <w:rFonts w:ascii="仿宋" w:hAnsi="仿宋" w:eastAsia="仿宋"/>
          <w:b/>
          <w:sz w:val="24"/>
          <w:szCs w:val="24"/>
          <w:highlight w:val="none"/>
        </w:rPr>
        <w:br w:type="page"/>
      </w:r>
      <w:r>
        <w:rPr>
          <w:rFonts w:hint="eastAsia" w:ascii="仿宋" w:hAnsi="仿宋" w:eastAsia="仿宋"/>
          <w:b/>
          <w:sz w:val="24"/>
          <w:szCs w:val="24"/>
          <w:highlight w:val="none"/>
        </w:rPr>
        <w:t xml:space="preserve">    </w:t>
      </w:r>
      <w:r>
        <w:rPr>
          <w:rFonts w:hint="eastAsia" w:ascii="仿宋" w:hAnsi="仿宋" w:eastAsia="仿宋" w:cs="仿宋"/>
          <w:sz w:val="24"/>
          <w:szCs w:val="24"/>
          <w:highlight w:val="none"/>
        </w:rPr>
        <w:t>甲方：</w:t>
      </w:r>
      <w:r>
        <w:rPr>
          <w:rFonts w:hint="eastAsia" w:ascii="仿宋" w:hAnsi="仿宋" w:eastAsia="仿宋" w:cs="仿宋"/>
          <w:b/>
          <w:sz w:val="24"/>
          <w:szCs w:val="24"/>
          <w:highlight w:val="none"/>
        </w:rPr>
        <w:t>陕西省交通运行监测中心</w:t>
      </w:r>
    </w:p>
    <w:p w14:paraId="14666EC9">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地址：西安市唐延路6号</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p>
    <w:p w14:paraId="782284C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邮编：710075</w:t>
      </w:r>
      <w:r>
        <w:rPr>
          <w:rFonts w:hint="eastAsia" w:ascii="仿宋" w:hAnsi="仿宋" w:eastAsia="仿宋" w:cs="仿宋"/>
          <w:sz w:val="24"/>
          <w:szCs w:val="24"/>
          <w:highlight w:val="none"/>
        </w:rPr>
        <w:tab/>
      </w:r>
    </w:p>
    <w:p w14:paraId="3C7F279D">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电话：</w:t>
      </w:r>
    </w:p>
    <w:p w14:paraId="7B144403">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w:t>
      </w:r>
    </w:p>
    <w:p w14:paraId="2BE68B8B">
      <w:pPr>
        <w:spacing w:line="360" w:lineRule="auto"/>
        <w:ind w:firstLine="480" w:firstLineChars="200"/>
        <w:rPr>
          <w:rFonts w:ascii="仿宋" w:hAnsi="仿宋" w:eastAsia="仿宋" w:cs="仿宋"/>
          <w:bCs/>
          <w:sz w:val="24"/>
          <w:szCs w:val="24"/>
          <w:highlight w:val="none"/>
        </w:rPr>
      </w:pPr>
      <w:r>
        <w:rPr>
          <w:rFonts w:hint="eastAsia" w:ascii="仿宋" w:hAnsi="仿宋" w:eastAsia="仿宋" w:cs="仿宋"/>
          <w:sz w:val="24"/>
          <w:szCs w:val="24"/>
          <w:highlight w:val="none"/>
        </w:rPr>
        <w:t>地址：</w:t>
      </w:r>
    </w:p>
    <w:p w14:paraId="701808E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 xml:space="preserve">邮编：           </w:t>
      </w:r>
    </w:p>
    <w:p w14:paraId="608F9F55">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电话：</w:t>
      </w:r>
    </w:p>
    <w:p w14:paraId="3932D40B">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依据《中华人民共和国民法典》的规定，就乙方履行合同《</w:t>
      </w:r>
      <w:r>
        <w:rPr>
          <w:rFonts w:hint="eastAsia" w:ascii="仿宋" w:hAnsi="仿宋" w:eastAsia="仿宋" w:cs="仿宋"/>
          <w:sz w:val="24"/>
          <w:szCs w:val="24"/>
          <w:highlight w:val="none"/>
          <w:lang w:val="en-US" w:eastAsia="zh-CN"/>
        </w:rPr>
        <w:t>XXXX</w:t>
      </w:r>
      <w:r>
        <w:rPr>
          <w:rFonts w:hint="eastAsia" w:ascii="仿宋" w:hAnsi="仿宋" w:eastAsia="仿宋" w:cs="仿宋"/>
          <w:sz w:val="24"/>
          <w:szCs w:val="24"/>
          <w:highlight w:val="none"/>
        </w:rPr>
        <w:t>项目》期间，乙方所接触到的甲方各种技术内容、会议信息和其他秘密的保守事项，经协商一致，签订本协议。</w:t>
      </w:r>
    </w:p>
    <w:p w14:paraId="457B0B4E">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一、保密范围和秘密定义</w:t>
      </w:r>
    </w:p>
    <w:p w14:paraId="52FD2AD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1.本协议提及的技术秘密，包括但不限于：技术方案、设备配置、技术指标、技术报告、检测报告、试验结果、操作手册、技术文档、相关的函电，等等。</w:t>
      </w:r>
    </w:p>
    <w:p w14:paraId="6D1A5779">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5F30A552">
      <w:pPr>
        <w:pStyle w:val="3"/>
        <w:ind w:firstLine="480" w:firstLineChars="200"/>
        <w:rPr>
          <w:rFonts w:eastAsia="仿宋"/>
          <w:color w:val="auto"/>
          <w:sz w:val="28"/>
          <w:szCs w:val="21"/>
          <w:highlight w:val="none"/>
        </w:rPr>
      </w:pPr>
      <w:r>
        <w:rPr>
          <w:rFonts w:hint="eastAsia" w:ascii="仿宋" w:hAnsi="仿宋" w:eastAsia="仿宋" w:cs="仿宋"/>
          <w:color w:val="auto"/>
          <w:sz w:val="24"/>
          <w:szCs w:val="24"/>
          <w:highlight w:val="none"/>
        </w:rPr>
        <w:t>3.保密期限：自合同签订之日起至乙方技术服务结束之日起五年。</w:t>
      </w:r>
    </w:p>
    <w:p w14:paraId="5161A679">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二、甲方的权利和义务</w:t>
      </w:r>
    </w:p>
    <w:p w14:paraId="05B6092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甲方应指定专人定期督导和检查乙方关于秘密保守的执行情况。</w:t>
      </w:r>
    </w:p>
    <w:p w14:paraId="6FE8B540">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三、乙方的权利和义务</w:t>
      </w:r>
    </w:p>
    <w:p w14:paraId="14F59EA2">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1.乙方在甲方单位服务期间，必须遵守甲方规定的任何成文或不成文的保密规章、制度，履行与其工作相应的保密职责。</w:t>
      </w:r>
    </w:p>
    <w:p w14:paraId="4234FC32">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2.乙方承诺，甲方的保密规章、制度没有规定或者规定不明确之处，乙方亦应本着谨慎、诚实的态度，维护其于服务期间知悉的技术秘密或其他秘密信息，以保持其机密性。</w:t>
      </w:r>
    </w:p>
    <w:p w14:paraId="0D28C38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3.除了履行服务职责的需要之外，乙方承诺，未经甲方同意，不得以任何方式向甲方指定人员以外的其他任何人或单位传递属于甲方的秘密。</w:t>
      </w:r>
    </w:p>
    <w:p w14:paraId="56E1CF8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4.乙方服务结束之后仍对其在甲方服务期间接触、知悉的属于甲方的技术秘密和其他秘密信息，承担如同服务期间一样的保密义务，而无论乙方因何种原因结束技术服务。</w:t>
      </w:r>
    </w:p>
    <w:p w14:paraId="528316D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5.乙方承诺，在为甲方履行技术服务时，不得擅自使用任何属于他人的技术秘密或其他秘密信息。</w:t>
      </w:r>
    </w:p>
    <w:p w14:paraId="3CE109F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6.乙方因工作上的需要所持有或保管的一切记录着甲方秘密信息的文件、资料、图表、笔记、报告、信件、磁带、磁盘、仪器以及其他任何形式的载体，均归甲方所有。</w:t>
      </w:r>
    </w:p>
    <w:p w14:paraId="6066902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7.乙方应当于技术服务结束时，或者于甲方提出请求时，返还全部记载着甲方秘密信息的一切载体。</w:t>
      </w:r>
    </w:p>
    <w:p w14:paraId="7280C48E">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四、违约责任</w:t>
      </w:r>
    </w:p>
    <w:p w14:paraId="13B8FED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1.双方因履行本协议而引起的争议或与本协议有关的争议，双方通过友好协商解决。如果无法达成一致意见，任何一方均有权限据本协议向甲方所在地人民法院提起诉讼解决。</w:t>
      </w:r>
    </w:p>
    <w:p w14:paraId="04427509">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2.一方违反本协议时，另一方有权终止本协议，并有权向违约方主张合同总金额20%的违约金。</w:t>
      </w:r>
    </w:p>
    <w:p w14:paraId="39FE22F8">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五、协议的变更和解除</w:t>
      </w:r>
    </w:p>
    <w:p w14:paraId="03E3E8E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1.在协议履行期内，甲乙双方均不得擅自变更或解除本协议。但经双方友好协商可对本协议条款进行变更或解除本协议。在技术服务合同期限内，甲乙双方不得终止本协议。</w:t>
      </w:r>
    </w:p>
    <w:p w14:paraId="69C4D025">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2.因客观原因，一方要求变更本协议时，须提前7天通知另一方，并征得的另一方的同意。</w:t>
      </w:r>
    </w:p>
    <w:p w14:paraId="1311F0D1">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3.因一方严重违约使本协议不能履行，另一方可单方面解除本协议，同时由违约方应承担违约责任，并对因违约所造成的损失予以赔偿。</w:t>
      </w:r>
    </w:p>
    <w:p w14:paraId="25775E0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4.本协议未尽事宜由甲乙双方协商解决，并以书面备忘录形式加以补充规定，备忘录与本协议具有同等的法律效力。</w:t>
      </w:r>
    </w:p>
    <w:p w14:paraId="1E46B101">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六、其它</w:t>
      </w:r>
    </w:p>
    <w:p w14:paraId="1BDE8B4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1.未尽事宜，双方本着友好精神，另行协商。</w:t>
      </w:r>
    </w:p>
    <w:p w14:paraId="3E7D29E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2.本协议一式肆份，甲方贰份，乙方贰份，具有同等效力。</w:t>
      </w:r>
    </w:p>
    <w:p w14:paraId="132192E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3.本协议中所称的技术服务履约期间，以甲方和乙方签订的技术服务合同书为标志。本协议中所称的结束技术服务，以双方所签订的技术服务合同书相关条款所规定的解除合作关系的时间为准。</w:t>
      </w:r>
    </w:p>
    <w:p w14:paraId="35C863F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4.本协议自双方签字、盖章完成之日起生效。</w:t>
      </w:r>
    </w:p>
    <w:p w14:paraId="074B8697">
      <w:pPr>
        <w:spacing w:line="360" w:lineRule="auto"/>
        <w:ind w:left="426"/>
        <w:rPr>
          <w:rFonts w:ascii="仿宋" w:hAnsi="仿宋" w:eastAsia="仿宋" w:cs="仿宋"/>
          <w:sz w:val="24"/>
          <w:szCs w:val="24"/>
          <w:highlight w:val="none"/>
        </w:rPr>
      </w:pPr>
    </w:p>
    <w:p w14:paraId="0F7706D1">
      <w:pPr>
        <w:pStyle w:val="2"/>
        <w:spacing w:line="360" w:lineRule="auto"/>
        <w:rPr>
          <w:rFonts w:ascii="仿宋" w:hAnsi="仿宋" w:eastAsia="仿宋" w:cs="仿宋"/>
          <w:sz w:val="24"/>
          <w:szCs w:val="24"/>
          <w:highlight w:val="none"/>
        </w:rPr>
      </w:pPr>
    </w:p>
    <w:tbl>
      <w:tblPr>
        <w:tblStyle w:val="8"/>
        <w:tblW w:w="9066" w:type="dxa"/>
        <w:jc w:val="center"/>
        <w:tblLayout w:type="fixed"/>
        <w:tblCellMar>
          <w:top w:w="0" w:type="dxa"/>
          <w:left w:w="284" w:type="dxa"/>
          <w:bottom w:w="0" w:type="dxa"/>
          <w:right w:w="0" w:type="dxa"/>
        </w:tblCellMar>
      </w:tblPr>
      <w:tblGrid>
        <w:gridCol w:w="4985"/>
        <w:gridCol w:w="4081"/>
      </w:tblGrid>
      <w:tr w14:paraId="4FC06DF5">
        <w:tblPrEx>
          <w:tblCellMar>
            <w:top w:w="0" w:type="dxa"/>
            <w:left w:w="284" w:type="dxa"/>
            <w:bottom w:w="0" w:type="dxa"/>
            <w:right w:w="0" w:type="dxa"/>
          </w:tblCellMar>
        </w:tblPrEx>
        <w:trPr>
          <w:trHeight w:val="1265" w:hRule="atLeast"/>
          <w:jc w:val="center"/>
        </w:trPr>
        <w:tc>
          <w:tcPr>
            <w:tcW w:w="4985" w:type="dxa"/>
          </w:tcPr>
          <w:p w14:paraId="7E100D3B">
            <w:pPr>
              <w:widowControl/>
              <w:spacing w:line="360" w:lineRule="auto"/>
              <w:ind w:right="-31"/>
              <w:jc w:val="left"/>
              <w:rPr>
                <w:rFonts w:ascii="仿宋" w:hAnsi="仿宋" w:eastAsia="仿宋" w:cs="仿宋"/>
                <w:sz w:val="24"/>
                <w:szCs w:val="24"/>
                <w:highlight w:val="none"/>
              </w:rPr>
            </w:pPr>
            <w:r>
              <w:rPr>
                <w:rFonts w:hint="eastAsia" w:ascii="仿宋" w:hAnsi="仿宋" w:eastAsia="仿宋" w:cs="仿宋"/>
                <w:sz w:val="24"/>
                <w:szCs w:val="24"/>
                <w:highlight w:val="none"/>
              </w:rPr>
              <w:t>甲方：陕西省交通运行监测中心（公章）</w:t>
            </w:r>
          </w:p>
        </w:tc>
        <w:tc>
          <w:tcPr>
            <w:tcW w:w="4081" w:type="dxa"/>
          </w:tcPr>
          <w:p w14:paraId="3B7EF51F">
            <w:pPr>
              <w:widowControl/>
              <w:spacing w:line="360" w:lineRule="auto"/>
              <w:ind w:left="700" w:right="102" w:hanging="600" w:hangingChars="250"/>
              <w:jc w:val="left"/>
              <w:rPr>
                <w:rFonts w:ascii="仿宋" w:hAnsi="仿宋" w:eastAsia="仿宋" w:cs="仿宋"/>
                <w:sz w:val="24"/>
                <w:szCs w:val="24"/>
                <w:highlight w:val="none"/>
              </w:rPr>
            </w:pPr>
            <w:r>
              <w:rPr>
                <w:rFonts w:hint="eastAsia" w:ascii="仿宋" w:hAnsi="仿宋" w:eastAsia="仿宋" w:cs="仿宋"/>
                <w:sz w:val="24"/>
                <w:szCs w:val="24"/>
                <w:highlight w:val="none"/>
              </w:rPr>
              <w:t>乙方：（公章）</w:t>
            </w:r>
          </w:p>
        </w:tc>
      </w:tr>
      <w:tr w14:paraId="63DD42D3">
        <w:tblPrEx>
          <w:tblCellMar>
            <w:top w:w="0" w:type="dxa"/>
            <w:left w:w="284" w:type="dxa"/>
            <w:bottom w:w="0" w:type="dxa"/>
            <w:right w:w="0" w:type="dxa"/>
          </w:tblCellMar>
        </w:tblPrEx>
        <w:trPr>
          <w:trHeight w:val="2684" w:hRule="atLeast"/>
          <w:jc w:val="center"/>
        </w:trPr>
        <w:tc>
          <w:tcPr>
            <w:tcW w:w="4985" w:type="dxa"/>
          </w:tcPr>
          <w:p w14:paraId="7FB8D1D5">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14:paraId="5CBA1383">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或授权代表人：</w:t>
            </w:r>
          </w:p>
          <w:p w14:paraId="7BCBA41A">
            <w:pPr>
              <w:widowControl/>
              <w:spacing w:line="360" w:lineRule="auto"/>
              <w:ind w:left="100" w:firstLine="240" w:firstLineChars="100"/>
              <w:rPr>
                <w:rFonts w:ascii="仿宋" w:hAnsi="仿宋" w:eastAsia="仿宋" w:cs="仿宋"/>
                <w:sz w:val="24"/>
                <w:szCs w:val="24"/>
                <w:highlight w:val="none"/>
              </w:rPr>
            </w:pPr>
            <w:r>
              <w:rPr>
                <w:rFonts w:hint="eastAsia" w:ascii="仿宋" w:hAnsi="仿宋" w:eastAsia="仿宋" w:cs="仿宋"/>
                <w:sz w:val="24"/>
                <w:szCs w:val="24"/>
                <w:highlight w:val="none"/>
              </w:rPr>
              <w:t>（签章）</w:t>
            </w:r>
          </w:p>
        </w:tc>
        <w:tc>
          <w:tcPr>
            <w:tcW w:w="4081" w:type="dxa"/>
          </w:tcPr>
          <w:p w14:paraId="348A056C">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14:paraId="57E41933">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或授权代表人：</w:t>
            </w:r>
          </w:p>
          <w:p w14:paraId="706977D0">
            <w:pPr>
              <w:widowControl/>
              <w:spacing w:line="360" w:lineRule="auto"/>
              <w:ind w:left="100" w:firstLine="240" w:firstLineChars="100"/>
              <w:rPr>
                <w:rFonts w:ascii="仿宋" w:hAnsi="仿宋" w:eastAsia="仿宋" w:cs="仿宋"/>
                <w:sz w:val="24"/>
                <w:szCs w:val="24"/>
                <w:highlight w:val="none"/>
              </w:rPr>
            </w:pPr>
            <w:r>
              <w:rPr>
                <w:rFonts w:hint="eastAsia" w:ascii="仿宋" w:hAnsi="仿宋" w:eastAsia="仿宋" w:cs="仿宋"/>
                <w:sz w:val="24"/>
                <w:szCs w:val="24"/>
                <w:highlight w:val="none"/>
              </w:rPr>
              <w:t>（签章）</w:t>
            </w:r>
          </w:p>
        </w:tc>
      </w:tr>
      <w:tr w14:paraId="368E0838">
        <w:tblPrEx>
          <w:tblCellMar>
            <w:top w:w="0" w:type="dxa"/>
            <w:left w:w="284" w:type="dxa"/>
            <w:bottom w:w="0" w:type="dxa"/>
            <w:right w:w="0" w:type="dxa"/>
          </w:tblCellMar>
        </w:tblPrEx>
        <w:trPr>
          <w:trHeight w:val="590" w:hRule="atLeast"/>
          <w:jc w:val="center"/>
        </w:trPr>
        <w:tc>
          <w:tcPr>
            <w:tcW w:w="9066" w:type="dxa"/>
            <w:gridSpan w:val="2"/>
          </w:tcPr>
          <w:p w14:paraId="43683034">
            <w:pPr>
              <w:widowControl/>
              <w:wordWrap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 xml:space="preserve">订立时间：        年      月      日          </w:t>
            </w:r>
          </w:p>
        </w:tc>
      </w:tr>
    </w:tbl>
    <w:p w14:paraId="7BC44241">
      <w:pPr>
        <w:pStyle w:val="10"/>
        <w:rPr>
          <w:rFonts w:hint="eastAsia"/>
          <w:lang w:val="en-US" w:eastAsia="zh-Hans"/>
        </w:rPr>
      </w:pPr>
    </w:p>
    <w:p w14:paraId="64FC99B7">
      <w:pPr>
        <w:pStyle w:val="10"/>
        <w:rPr>
          <w:rFonts w:hint="eastAsia"/>
          <w:lang w:val="en-US" w:eastAsia="zh-Hans"/>
        </w:rPr>
      </w:pPr>
    </w:p>
    <w:p w14:paraId="4CE7C007">
      <w:bookmarkStart w:id="9" w:name="_GoBack"/>
      <w:bookmarkEnd w:id="9"/>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C2CC9">
    <w:pPr>
      <w:pStyle w:val="2"/>
      <w:spacing w:line="173" w:lineRule="auto"/>
      <w:ind w:left="4379"/>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CDAA99">
                          <w:pPr>
                            <w:pStyle w:val="6"/>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ACDAA99">
                    <w:pPr>
                      <w:pStyle w:val="6"/>
                    </w:pPr>
                    <w:r>
                      <w:fldChar w:fldCharType="begin"/>
                    </w:r>
                    <w:r>
                      <w:instrText xml:space="preserve"> PAGE  \* MERGEFORMAT </w:instrText>
                    </w:r>
                    <w:r>
                      <w:fldChar w:fldCharType="separate"/>
                    </w:r>
                    <w:r>
                      <w:t>31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382D5D"/>
    <w:rsid w:val="7DB76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unhideWhenUsed/>
    <w:qFormat/>
    <w:uiPriority w:val="9"/>
    <w:pPr>
      <w:jc w:val="left"/>
      <w:outlineLvl w:val="1"/>
    </w:pPr>
    <w:rPr>
      <w:sz w:val="30"/>
      <w:szCs w:val="2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 w:type="paragraph" w:styleId="4">
    <w:name w:val="Normal Indent"/>
    <w:basedOn w:val="1"/>
    <w:next w:val="5"/>
    <w:qFormat/>
    <w:uiPriority w:val="0"/>
    <w:pPr>
      <w:autoSpaceDE w:val="0"/>
      <w:autoSpaceDN w:val="0"/>
      <w:adjustRightInd w:val="0"/>
      <w:spacing w:line="640" w:lineRule="exact"/>
      <w:ind w:firstLine="585"/>
    </w:pPr>
    <w:rPr>
      <w:rFonts w:ascii="楷体_GB2312" w:hAnsi="Times New Roman" w:eastAsia="楷体_GB2312" w:cs="Times New Roman"/>
      <w:sz w:val="32"/>
      <w:szCs w:val="32"/>
    </w:rPr>
  </w:style>
  <w:style w:type="paragraph" w:styleId="5">
    <w:name w:val="toc 4"/>
    <w:basedOn w:val="1"/>
    <w:next w:val="1"/>
    <w:unhideWhenUsed/>
    <w:qFormat/>
    <w:uiPriority w:val="31"/>
    <w:pPr>
      <w:ind w:left="1275"/>
    </w:pPr>
    <w:rPr>
      <w:rFonts w:ascii="Calibri" w:hAnsi="Calibri"/>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Normal (Web)"/>
    <w:basedOn w:val="1"/>
    <w:qFormat/>
    <w:uiPriority w:val="0"/>
    <w:pPr>
      <w:spacing w:beforeAutospacing="1" w:afterAutospacing="1"/>
      <w:jc w:val="left"/>
    </w:pPr>
    <w:rPr>
      <w:kern w:val="0"/>
      <w:sz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段"/>
    <w:next w:val="1"/>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746</Words>
  <Characters>761</Characters>
  <Lines>0</Lines>
  <Paragraphs>0</Paragraphs>
  <TotalTime>1</TotalTime>
  <ScaleCrop>false</ScaleCrop>
  <LinksUpToDate>false</LinksUpToDate>
  <CharactersWithSpaces>868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2025-05-29T13:50:00Z</dcterms:created>
  <dc:creator>pc</dc:creator>
  <cp:lastModifiedBy>肖肖</cp:lastModifiedBy>
  <dcterms:modified xsi:type="dcterms:W3CDTF">2025-05-29T14:01:55Z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eyJoZGlkIjoiMjRmYjg0N2M1ODc3ODUwZjJhZjcwZDM5MTYzMGM2OWIiLCJ1c2VySWQiOiI0MzM4MTU0MzAifQ==</vt:lpwstr>
  </property>
  <property fmtid="{D5CDD505-2E9C-101B-9397-08002B2CF9AE}" pid="4" name="ICV">
    <vt:lpwstr>6CB4F3328C91433DA7008D126FB8DDF1_12</vt:lpwstr>
  </property>
</Properties>
</file>