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1"/>
        <w:ind w:left="13" w:firstLine="883" w:firstLineChars="200"/>
        <w:jc w:val="center"/>
        <w:rPr>
          <w:rFonts w:cs="宋体" w:asciiTheme="majorEastAsia" w:hAnsiTheme="majorEastAsia" w:eastAsiaTheme="majorEastAsia"/>
          <w:b/>
          <w:sz w:val="44"/>
          <w:szCs w:val="44"/>
        </w:rPr>
      </w:pPr>
      <w:r>
        <w:rPr>
          <w:rFonts w:hint="eastAsia" w:cs="宋体" w:asciiTheme="majorEastAsia" w:hAnsiTheme="majorEastAsia" w:eastAsiaTheme="majorEastAsia"/>
          <w:b/>
          <w:sz w:val="44"/>
          <w:szCs w:val="44"/>
        </w:rPr>
        <w:t>2</w:t>
      </w:r>
      <w:r>
        <w:rPr>
          <w:rFonts w:cs="宋体" w:asciiTheme="majorEastAsia" w:hAnsiTheme="majorEastAsia" w:eastAsiaTheme="majorEastAsia"/>
          <w:b/>
          <w:sz w:val="44"/>
          <w:szCs w:val="44"/>
        </w:rPr>
        <w:t>02</w:t>
      </w:r>
      <w:r>
        <w:rPr>
          <w:rFonts w:hint="eastAsia" w:cs="宋体" w:asciiTheme="majorEastAsia" w:hAnsiTheme="majorEastAsia" w:eastAsiaTheme="majorEastAsia"/>
          <w:b/>
          <w:sz w:val="44"/>
          <w:szCs w:val="44"/>
          <w:lang w:val="en-US" w:eastAsia="zh-CN"/>
        </w:rPr>
        <w:t>5</w:t>
      </w:r>
      <w:r>
        <w:rPr>
          <w:rFonts w:cs="宋体" w:asciiTheme="majorEastAsia" w:hAnsiTheme="majorEastAsia" w:eastAsiaTheme="majorEastAsia"/>
          <w:b/>
          <w:sz w:val="44"/>
          <w:szCs w:val="44"/>
        </w:rPr>
        <w:t>年</w:t>
      </w:r>
      <w:r>
        <w:rPr>
          <w:rFonts w:hint="eastAsia" w:cs="宋体" w:asciiTheme="majorEastAsia" w:hAnsiTheme="majorEastAsia" w:eastAsiaTheme="majorEastAsia"/>
          <w:b/>
          <w:sz w:val="44"/>
          <w:szCs w:val="44"/>
        </w:rPr>
        <w:t>I</w:t>
      </w:r>
      <w:r>
        <w:rPr>
          <w:rFonts w:cs="宋体" w:asciiTheme="majorEastAsia" w:hAnsiTheme="majorEastAsia" w:eastAsiaTheme="majorEastAsia"/>
          <w:b/>
          <w:sz w:val="44"/>
          <w:szCs w:val="44"/>
        </w:rPr>
        <w:t>T系统运维服务详细技术参数</w:t>
      </w:r>
    </w:p>
    <w:p>
      <w:pPr>
        <w:spacing w:before="200" w:after="200"/>
        <w:ind w:left="11" w:firstLine="480" w:firstLineChars="200"/>
        <w:rPr>
          <w:rFonts w:cs="宋体" w:asciiTheme="minorEastAsia" w:hAnsiTheme="minorEastAsia" w:eastAsiaTheme="minorEastAsia"/>
          <w:sz w:val="24"/>
          <w:szCs w:val="24"/>
        </w:rPr>
      </w:pPr>
      <w:r>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t>一、网络现状概述</w:t>
      </w:r>
    </w:p>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陕西省计量科学研究院</w:t>
      </w:r>
      <w:r>
        <w:rPr>
          <w:rFonts w:hint="eastAsia" w:cs="宋体" w:asciiTheme="minorEastAsia" w:hAnsiTheme="minorEastAsia" w:eastAsiaTheme="minorEastAsia"/>
          <w:sz w:val="24"/>
          <w:szCs w:val="24"/>
        </w:rPr>
        <w:t>信息化</w:t>
      </w:r>
      <w:r>
        <w:rPr>
          <w:rFonts w:cs="宋体" w:asciiTheme="minorEastAsia" w:hAnsiTheme="minorEastAsia" w:eastAsiaTheme="minorEastAsia"/>
          <w:sz w:val="24"/>
          <w:szCs w:val="24"/>
        </w:rPr>
        <w:t>设备种类、数量较多，涉及有服务器、存储设备、安全设备、行为审计设备、核心</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汇聚</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接入交换机、流量</w:t>
      </w:r>
      <w:r>
        <w:rPr>
          <w:rFonts w:hint="eastAsia" w:cs="宋体" w:asciiTheme="minorEastAsia" w:hAnsiTheme="minorEastAsia" w:eastAsiaTheme="minorEastAsia"/>
          <w:sz w:val="24"/>
          <w:szCs w:val="24"/>
        </w:rPr>
        <w:t>回溯</w:t>
      </w:r>
      <w:r>
        <w:rPr>
          <w:rFonts w:cs="宋体" w:asciiTheme="minorEastAsia" w:hAnsiTheme="minorEastAsia" w:eastAsiaTheme="minorEastAsia"/>
          <w:sz w:val="24"/>
          <w:szCs w:val="24"/>
        </w:rPr>
        <w:t>分析设备、运维平台、安全接入、无线网络以及计算机、打印机等，设备型号近五十余种，约 600台，制造厂商 30余家。信息网络系统与各类业务密切相关，一旦发生故障，必须快速解决故障，恢复业务。为了保证园区网络及相关应用系统的稳定运行，急需采购一套一体化的运行维保服务。</w:t>
      </w:r>
    </w:p>
    <w:p>
      <w:pPr>
        <w:spacing w:before="200" w:after="200"/>
        <w:ind w:left="11" w:firstLine="480" w:firstLineChars="200"/>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pPr>
      <w:r>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t>二、供应商运维团队要求</w:t>
      </w:r>
    </w:p>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 xml:space="preserve"> 1)</w:t>
      </w:r>
      <w:r>
        <w:rPr>
          <w:rFonts w:hint="eastAsia" w:cs="宋体" w:asciiTheme="minorEastAsia" w:hAnsiTheme="minorEastAsia" w:eastAsiaTheme="minorEastAsia"/>
          <w:sz w:val="24"/>
          <w:szCs w:val="24"/>
        </w:rPr>
        <w:t>供应商须具备</w:t>
      </w:r>
      <w:r>
        <w:rPr>
          <w:rFonts w:cs="宋体" w:asciiTheme="minorEastAsia" w:hAnsiTheme="minorEastAsia" w:eastAsiaTheme="minorEastAsia"/>
          <w:sz w:val="24"/>
          <w:szCs w:val="24"/>
        </w:rPr>
        <w:t>ITSS--“</w:t>
      </w:r>
      <w:r>
        <w:rPr>
          <w:rFonts w:hint="eastAsia" w:cs="宋体" w:asciiTheme="minorEastAsia" w:hAnsiTheme="minorEastAsia" w:eastAsiaTheme="minorEastAsia"/>
          <w:sz w:val="24"/>
          <w:szCs w:val="24"/>
        </w:rPr>
        <w:t>运行维护服务”或信息系统业务安全服务资质证书</w:t>
      </w:r>
      <w:r>
        <w:rPr>
          <w:rFonts w:cs="宋体" w:asciiTheme="minorEastAsia" w:hAnsiTheme="minorEastAsia" w:eastAsiaTheme="minorEastAsia"/>
          <w:sz w:val="24"/>
          <w:szCs w:val="24"/>
        </w:rPr>
        <w:t>(CCIA)</w:t>
      </w:r>
      <w:r>
        <w:rPr>
          <w:rFonts w:hint="eastAsia" w:cs="宋体" w:asciiTheme="minorEastAsia" w:hAnsiTheme="minorEastAsia" w:eastAsiaTheme="minorEastAsia"/>
          <w:sz w:val="24"/>
          <w:szCs w:val="24"/>
        </w:rPr>
        <w:t>；应具有信息安全管理体系认证证书</w:t>
      </w:r>
      <w:r>
        <w:rPr>
          <w:rFonts w:cs="宋体" w:asciiTheme="minorEastAsia" w:hAnsiTheme="minorEastAsia" w:eastAsiaTheme="minorEastAsia"/>
          <w:sz w:val="24"/>
          <w:szCs w:val="24"/>
        </w:rPr>
        <w:t xml:space="preserve"> (ISO27001) </w:t>
      </w:r>
      <w:r>
        <w:rPr>
          <w:rFonts w:hint="eastAsia" w:cs="宋体" w:asciiTheme="minorEastAsia" w:hAnsiTheme="minorEastAsia" w:eastAsiaTheme="minorEastAsia"/>
          <w:sz w:val="24"/>
          <w:szCs w:val="24"/>
        </w:rPr>
        <w:t>，信息技术服务管理体系认证证书</w:t>
      </w:r>
      <w:r>
        <w:rPr>
          <w:rFonts w:cs="宋体" w:asciiTheme="minorEastAsia" w:hAnsiTheme="minorEastAsia" w:eastAsiaTheme="minorEastAsia"/>
          <w:sz w:val="24"/>
          <w:szCs w:val="24"/>
        </w:rPr>
        <w:t xml:space="preserve"> (ISO20000)</w:t>
      </w:r>
      <w:r>
        <w:rPr>
          <w:rFonts w:hint="eastAsia" w:cs="宋体" w:asciiTheme="minorEastAsia" w:hAnsiTheme="minorEastAsia" w:eastAsiaTheme="minorEastAsia"/>
          <w:sz w:val="24"/>
          <w:szCs w:val="24"/>
        </w:rPr>
        <w:t>；</w:t>
      </w:r>
    </w:p>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2)</w:t>
      </w:r>
      <w:r>
        <w:rPr>
          <w:rFonts w:hint="eastAsia" w:cs="宋体" w:asciiTheme="minorEastAsia" w:hAnsiTheme="minorEastAsia" w:eastAsiaTheme="minorEastAsia"/>
          <w:sz w:val="24"/>
          <w:szCs w:val="24"/>
        </w:rPr>
        <w:t xml:space="preserve"> 项目经理需具备</w:t>
      </w:r>
      <w:r>
        <w:rPr>
          <w:rFonts w:cs="宋体" w:asciiTheme="minorEastAsia" w:hAnsiTheme="minorEastAsia" w:eastAsiaTheme="minorEastAsia"/>
          <w:sz w:val="24"/>
          <w:szCs w:val="24"/>
        </w:rPr>
        <w:t>PMP</w:t>
      </w:r>
      <w:r>
        <w:rPr>
          <w:rFonts w:hint="eastAsia" w:cs="宋体" w:asciiTheme="minorEastAsia" w:hAnsiTheme="minorEastAsia" w:eastAsiaTheme="minorEastAsia"/>
          <w:sz w:val="24"/>
          <w:szCs w:val="24"/>
        </w:rPr>
        <w:t>项目经理证书及注册信息安全工程师证书（</w:t>
      </w:r>
      <w:r>
        <w:rPr>
          <w:rFonts w:cs="宋体" w:asciiTheme="minorEastAsia" w:hAnsiTheme="minorEastAsia" w:eastAsiaTheme="minorEastAsia"/>
          <w:sz w:val="24"/>
          <w:szCs w:val="24"/>
        </w:rPr>
        <w:t>CISP</w:t>
      </w:r>
      <w:r>
        <w:rPr>
          <w:rFonts w:hint="eastAsia" w:cs="宋体" w:asciiTheme="minorEastAsia" w:hAnsiTheme="minorEastAsia" w:eastAsiaTheme="minorEastAsia"/>
          <w:sz w:val="24"/>
          <w:szCs w:val="24"/>
        </w:rPr>
        <w:t>）</w:t>
      </w:r>
      <w:r>
        <w:rPr>
          <w:rFonts w:cs="宋体" w:asciiTheme="minorEastAsia" w:hAnsiTheme="minorEastAsia" w:eastAsiaTheme="minorEastAsia"/>
          <w:sz w:val="24"/>
          <w:szCs w:val="24"/>
        </w:rPr>
        <w:t>；</w:t>
      </w:r>
    </w:p>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3) 项目组技术支持团队至少 5 人。需具备网络设备厂家认证工程师、安全产品厂家认证工程师、备份产品厂家认证工程师、虚拟化、数据库、操作系统、ITSS-IT 服务工程师、运维产品 (如：北塔、网强、云智慧等) 厂家认证工程师认证证书中至少三个类别的认证证书；</w:t>
      </w:r>
      <w:r>
        <w:rPr>
          <w:rFonts w:hint="eastAsia" w:cs="宋体" w:asciiTheme="minorEastAsia" w:hAnsiTheme="minorEastAsia" w:eastAsiaTheme="minorEastAsia"/>
          <w:sz w:val="24"/>
          <w:szCs w:val="24"/>
        </w:rPr>
        <w:t>满足运维项目实施过程中特种行业操作（电工证等）</w:t>
      </w:r>
      <w:r>
        <w:rPr>
          <w:rFonts w:cs="宋体" w:asciiTheme="minorEastAsia" w:hAnsiTheme="minorEastAsia" w:eastAsiaTheme="minorEastAsia"/>
          <w:sz w:val="24"/>
          <w:szCs w:val="24"/>
        </w:rPr>
        <w:t>；</w:t>
      </w:r>
    </w:p>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 xml:space="preserve">4) </w:t>
      </w:r>
      <w:r>
        <w:rPr>
          <w:rFonts w:hint="eastAsia" w:cs="宋体" w:asciiTheme="minorEastAsia" w:hAnsiTheme="minorEastAsia" w:eastAsiaTheme="minorEastAsia"/>
          <w:sz w:val="24"/>
          <w:szCs w:val="24"/>
        </w:rPr>
        <w:t>驻场要求：</w:t>
      </w:r>
      <w:r>
        <w:rPr>
          <w:rFonts w:cs="宋体" w:asciiTheme="minorEastAsia" w:hAnsiTheme="minorEastAsia" w:eastAsiaTheme="minorEastAsia"/>
          <w:sz w:val="24"/>
          <w:szCs w:val="24"/>
        </w:rPr>
        <w:t>1</w:t>
      </w:r>
      <w:r>
        <w:rPr>
          <w:rFonts w:hint="eastAsia" w:cs="宋体" w:asciiTheme="minorEastAsia" w:hAnsiTheme="minorEastAsia" w:eastAsiaTheme="minorEastAsia"/>
          <w:sz w:val="24"/>
          <w:szCs w:val="24"/>
        </w:rPr>
        <w:t>名，</w:t>
      </w:r>
      <w:r>
        <w:rPr>
          <w:rFonts w:cs="宋体" w:asciiTheme="minorEastAsia" w:hAnsiTheme="minorEastAsia" w:eastAsiaTheme="minorEastAsia"/>
          <w:sz w:val="24"/>
          <w:szCs w:val="24"/>
        </w:rPr>
        <w:t>7×24</w:t>
      </w:r>
      <w:r>
        <w:rPr>
          <w:rFonts w:hint="eastAsia" w:cs="宋体" w:asciiTheme="minorEastAsia" w:hAnsiTheme="minorEastAsia" w:eastAsiaTheme="minorEastAsia"/>
          <w:sz w:val="24"/>
          <w:szCs w:val="24"/>
        </w:rPr>
        <w:t>小时。需具备网络设备厂家认证工程师证书、安全产品厂家认证工程师证书、操作系统厂家或虚拟化产品厂家认证工程师证书、网络分析厂家认证证书、数据安全厂家认证证书上上述中任意三类认证工程师（不可与技术支持团队人员重复）。</w:t>
      </w:r>
    </w:p>
    <w:p>
      <w:pPr>
        <w:spacing w:before="200" w:after="200"/>
        <w:ind w:left="11" w:firstLine="480" w:firstLineChars="200"/>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pPr>
      <w:r>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t>三、维保服务内容</w:t>
      </w:r>
    </w:p>
    <w:p>
      <w:pPr>
        <w:spacing w:before="134"/>
        <w:ind w:left="2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 一) 现有需维保的设备清单 (包括但不限于) ：</w:t>
      </w:r>
    </w:p>
    <w:p>
      <w:pPr>
        <w:ind w:firstLine="480" w:firstLineChars="200"/>
        <w:rPr>
          <w:rFonts w:asciiTheme="minorEastAsia" w:hAnsiTheme="minorEastAsia" w:eastAsiaTheme="minorEastAsia"/>
          <w:sz w:val="24"/>
          <w:szCs w:val="24"/>
        </w:rPr>
      </w:pPr>
    </w:p>
    <w:tbl>
      <w:tblPr>
        <w:tblStyle w:val="5"/>
        <w:tblW w:w="0" w:type="auto"/>
        <w:jc w:val="center"/>
        <w:tblLayout w:type="fixed"/>
        <w:tblCellMar>
          <w:top w:w="0" w:type="dxa"/>
          <w:left w:w="108" w:type="dxa"/>
          <w:bottom w:w="0" w:type="dxa"/>
          <w:right w:w="108" w:type="dxa"/>
        </w:tblCellMar>
      </w:tblPr>
      <w:tblGrid>
        <w:gridCol w:w="863"/>
        <w:gridCol w:w="1740"/>
        <w:gridCol w:w="1095"/>
        <w:gridCol w:w="1816"/>
        <w:gridCol w:w="765"/>
        <w:gridCol w:w="1371"/>
        <w:gridCol w:w="1763"/>
      </w:tblGrid>
      <w:tr>
        <w:trPr>
          <w:trHeight w:val="312" w:hRule="atLeast"/>
          <w:jc w:val="center"/>
        </w:trPr>
        <w:tc>
          <w:tcPr>
            <w:tcW w:w="863" w:type="dxa"/>
            <w:tcBorders>
              <w:top w:val="single" w:color="000000" w:sz="4" w:space="0"/>
              <w:left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设备</w:t>
            </w:r>
          </w:p>
          <w:p>
            <w:pPr>
              <w:jc w:val="center"/>
              <w:rPr>
                <w:rFonts w:ascii="宋体" w:hAnsi="宋体" w:cs="宋体"/>
                <w:color w:val="auto"/>
              </w:rPr>
            </w:pPr>
            <w:r>
              <w:rPr>
                <w:rFonts w:hint="eastAsia" w:ascii="宋体" w:hAnsi="宋体" w:cs="宋体"/>
                <w:color w:val="auto"/>
              </w:rPr>
              <w:t>类型</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设备名称</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品牌</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规格型号</w:t>
            </w:r>
          </w:p>
          <w:p>
            <w:pPr>
              <w:jc w:val="center"/>
              <w:rPr>
                <w:rFonts w:ascii="宋体" w:hAnsi="宋体" w:cs="宋体"/>
                <w:color w:val="auto"/>
              </w:rPr>
            </w:pPr>
            <w:r>
              <w:rPr>
                <w:rFonts w:hint="eastAsia" w:ascii="宋体" w:hAnsi="宋体" w:cs="宋体"/>
                <w:color w:val="auto"/>
              </w:rPr>
              <w:t>（仅供参考）</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单位</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数量</w:t>
            </w:r>
          </w:p>
          <w:p>
            <w:pPr>
              <w:jc w:val="center"/>
              <w:rPr>
                <w:rFonts w:ascii="宋体" w:hAnsi="宋体" w:cs="宋体"/>
                <w:color w:val="auto"/>
              </w:rPr>
            </w:pPr>
            <w:r>
              <w:rPr>
                <w:rFonts w:hint="eastAsia" w:ascii="宋体" w:hAnsi="宋体" w:cs="宋体"/>
                <w:color w:val="auto"/>
              </w:rPr>
              <w:t>（仅供参考）</w:t>
            </w:r>
          </w:p>
        </w:tc>
        <w:tc>
          <w:tcPr>
            <w:tcW w:w="1763" w:type="dxa"/>
            <w:tcBorders>
              <w:top w:val="single" w:color="000000" w:sz="4" w:space="0"/>
              <w:left w:val="single" w:color="000000" w:sz="4" w:space="0"/>
              <w:bottom w:val="single" w:color="000000" w:sz="4" w:space="0"/>
              <w:right w:val="single" w:color="000000" w:sz="4" w:space="0"/>
            </w:tcBorders>
            <w:vAlign w:val="center"/>
          </w:tcPr>
          <w:p>
            <w:pPr>
              <w:ind w:firstLine="210" w:firstLineChars="100"/>
              <w:jc w:val="center"/>
              <w:rPr>
                <w:rFonts w:ascii="宋体" w:hAnsi="宋体" w:cs="宋体"/>
                <w:color w:val="auto"/>
              </w:rPr>
            </w:pPr>
            <w:r>
              <w:rPr>
                <w:rFonts w:hint="eastAsia" w:ascii="宋体" w:hAnsi="宋体" w:cs="宋体"/>
                <w:color w:val="auto"/>
              </w:rPr>
              <w:t>备  注</w:t>
            </w: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000000" w:sz="4" w:space="0"/>
              <w:left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服务器</w:t>
            </w:r>
          </w:p>
          <w:p>
            <w:pPr>
              <w:jc w:val="center"/>
              <w:rPr>
                <w:rFonts w:ascii="宋体" w:hAnsi="宋体" w:cs="宋体"/>
                <w:color w:val="auto"/>
              </w:rPr>
            </w:pPr>
            <w:r>
              <w:rPr>
                <w:rFonts w:hint="eastAsia" w:ascii="宋体" w:hAnsi="宋体" w:cs="宋体"/>
                <w:color w:val="auto"/>
              </w:rPr>
              <w:t>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服务器</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浪潮</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NF8460M4</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3</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left w:val="single" w:color="000000"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服务器</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联想</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System X3850 X6</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3</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left w:val="single" w:color="000000"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光纤交换机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CN3300B</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000000" w:sz="4" w:space="0"/>
              <w:left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存储</w:t>
            </w:r>
          </w:p>
          <w:p>
            <w:pPr>
              <w:jc w:val="center"/>
              <w:rPr>
                <w:rFonts w:ascii="宋体" w:hAnsi="宋体" w:cs="宋体"/>
                <w:color w:val="auto"/>
              </w:rPr>
            </w:pPr>
            <w:r>
              <w:rPr>
                <w:rFonts w:hint="eastAsia" w:ascii="宋体" w:hAnsi="宋体" w:cs="宋体"/>
                <w:color w:val="auto"/>
              </w:rPr>
              <w:t>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备份一体机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壹进制</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UnaDPM</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3</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存储</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宏杉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MS2500G2-25E</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存储双活</w:t>
            </w: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s="宋体"/>
                <w:color w:val="auto"/>
              </w:rPr>
              <w:t>网络安全设备</w:t>
            </w: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日志审计</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安恒</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DAS-LOG-1000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负载均衡</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天融信</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TopApp 6000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链路负载均衡</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防火墙</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天融信</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NGFW4000-UF</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互联网出口</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防火墙</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安恒</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DAS-Gateway-1920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服务器前端</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上网行为管理</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天融信</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TopACM 3000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网闸</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天融信</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TopRules</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内外网隔离</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IPS</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安恒</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DAS-ips-920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W</w:t>
            </w:r>
            <w:r>
              <w:rPr>
                <w:rFonts w:ascii="宋体" w:hAnsi="宋体" w:cs="宋体" w:eastAsiaTheme="minorEastAsia"/>
                <w:color w:val="auto"/>
              </w:rPr>
              <w:t>AF</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安恒</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DAS- WAF-2000AG</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A</w:t>
            </w:r>
            <w:r>
              <w:rPr>
                <w:rFonts w:ascii="宋体" w:hAnsi="宋体" w:cs="宋体" w:eastAsiaTheme="minorEastAsia"/>
                <w:color w:val="auto"/>
              </w:rPr>
              <w:t>TRUST安全网关</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深信服</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eastAsiaTheme="minorEastAsia"/>
                <w:color w:val="auto"/>
              </w:rPr>
              <w:t>A</w:t>
            </w:r>
            <w:r>
              <w:rPr>
                <w:rFonts w:ascii="宋体" w:hAnsi="宋体" w:cs="宋体" w:eastAsiaTheme="minorEastAsia"/>
                <w:color w:val="auto"/>
              </w:rPr>
              <w:t>TRUST-1000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流量分析系统</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科来</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ascii="宋体" w:hAnsi="宋体" w:cs="宋体" w:eastAsiaTheme="minorEastAsia"/>
                <w:color w:val="auto"/>
              </w:rPr>
              <w:t>NG1008TD</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rPr>
            </w:pPr>
          </w:p>
        </w:tc>
        <w:tc>
          <w:tcPr>
            <w:tcW w:w="174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堡垒机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圣博润</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NK-100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计算机</w:t>
            </w:r>
          </w:p>
          <w:p>
            <w:pPr>
              <w:jc w:val="center"/>
              <w:rPr>
                <w:rFonts w:ascii="宋体" w:hAnsi="宋体" w:cs="宋体"/>
                <w:color w:val="auto"/>
              </w:rPr>
            </w:pPr>
            <w:r>
              <w:rPr>
                <w:rFonts w:hint="eastAsia" w:ascii="宋体" w:hAnsi="宋体" w:cs="宋体"/>
                <w:color w:val="auto"/>
              </w:rPr>
              <w:t>内网</w:t>
            </w:r>
          </w:p>
          <w:p>
            <w:pPr>
              <w:jc w:val="center"/>
              <w:rPr>
                <w:rFonts w:ascii="宋体" w:hAnsi="宋体" w:cs="宋体"/>
                <w:color w:val="auto"/>
              </w:rPr>
            </w:pPr>
            <w:r>
              <w:rPr>
                <w:rFonts w:hint="eastAsia" w:ascii="宋体" w:hAnsi="宋体" w:cs="宋体"/>
                <w:color w:val="auto"/>
              </w:rPr>
              <w:t>系统</w:t>
            </w:r>
          </w:p>
          <w:p>
            <w:pPr>
              <w:jc w:val="center"/>
              <w:rPr>
                <w:rFonts w:ascii="宋体" w:hAnsi="宋体" w:cs="宋体"/>
                <w:color w:val="auto"/>
              </w:rPr>
            </w:pPr>
            <w:r>
              <w:rPr>
                <w:rFonts w:hint="eastAsia" w:ascii="宋体" w:hAnsi="宋体" w:cs="宋体"/>
                <w:color w:val="auto"/>
              </w:rPr>
              <w:t>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核心交换机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S7510E-X</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S5560-54Q5</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数据中心接入</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汇聚交换机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S6520X-30QC-EI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4</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S5130S-52S-EI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5</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S5130S-28S-EI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13</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S5130S-12TP-E</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S5130S-52S-EI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S5130S-28S-EI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计算机</w:t>
            </w:r>
          </w:p>
          <w:p>
            <w:pPr>
              <w:jc w:val="center"/>
              <w:rPr>
                <w:rFonts w:ascii="宋体" w:hAnsi="宋体" w:cs="宋体"/>
                <w:color w:val="auto"/>
              </w:rPr>
            </w:pPr>
            <w:r>
              <w:rPr>
                <w:rFonts w:hint="eastAsia" w:ascii="宋体" w:hAnsi="宋体" w:cs="宋体"/>
                <w:color w:val="auto"/>
              </w:rPr>
              <w:t>外网</w:t>
            </w:r>
          </w:p>
          <w:p>
            <w:pPr>
              <w:jc w:val="center"/>
              <w:rPr>
                <w:rFonts w:ascii="宋体" w:hAnsi="宋体" w:cs="宋体"/>
                <w:color w:val="auto"/>
              </w:rPr>
            </w:pPr>
            <w:r>
              <w:rPr>
                <w:rFonts w:hint="eastAsia" w:ascii="宋体" w:hAnsi="宋体" w:cs="宋体"/>
                <w:color w:val="auto"/>
              </w:rPr>
              <w:t>系统</w:t>
            </w:r>
          </w:p>
          <w:p>
            <w:pPr>
              <w:jc w:val="center"/>
              <w:rPr>
                <w:rFonts w:ascii="宋体" w:hAnsi="宋体" w:cs="宋体"/>
                <w:color w:val="auto"/>
              </w:rPr>
            </w:pPr>
            <w:r>
              <w:rPr>
                <w:rFonts w:hint="eastAsia" w:ascii="宋体" w:hAnsi="宋体" w:cs="宋体"/>
                <w:color w:val="auto"/>
              </w:rPr>
              <w:t>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核心交换机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S7510E-X</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LS-7006X</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外网服务器接入</w:t>
            </w: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汇聚交换机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S6520X-30QC-EI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4</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S5130S-52S-E</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8</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S5130S-28S-EI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11</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S5130S-12TP-EI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3</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S5130S-52S-E</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auto" w:sz="4" w:space="0"/>
              <w:left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办公室网络设备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S5024PV3-Ei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6</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S5016PV3-Ei</w:t>
            </w:r>
          </w:p>
        </w:tc>
        <w:tc>
          <w:tcPr>
            <w:tcW w:w="765" w:type="dxa"/>
            <w:tcBorders>
              <w:top w:val="single" w:color="000000" w:sz="4" w:space="0"/>
              <w:left w:val="single" w:color="000000" w:sz="4" w:space="0"/>
              <w:bottom w:val="single" w:color="000000" w:sz="4" w:space="0"/>
              <w:right w:val="single" w:color="000000" w:sz="4" w:space="0"/>
            </w:tcBorders>
          </w:tcPr>
          <w:p>
            <w:pPr>
              <w:jc w:val="center"/>
              <w:rPr>
                <w:color w:val="auto"/>
              </w:rPr>
            </w:pPr>
            <w:r>
              <w:rPr>
                <w:rFonts w:hint="eastAsia" w:ascii="宋体" w:hAnsi="宋体" w:eastAsia="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2</w:t>
            </w:r>
            <w:r>
              <w:rPr>
                <w:rFonts w:ascii="宋体" w:hAnsi="宋体" w:cs="宋体" w:eastAsiaTheme="minorEastAsia"/>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接入交换机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华三</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S5008PV3-Ei</w:t>
            </w:r>
          </w:p>
        </w:tc>
        <w:tc>
          <w:tcPr>
            <w:tcW w:w="765" w:type="dxa"/>
            <w:tcBorders>
              <w:top w:val="single" w:color="000000" w:sz="4" w:space="0"/>
              <w:left w:val="single" w:color="000000" w:sz="4" w:space="0"/>
              <w:bottom w:val="single" w:color="000000" w:sz="4" w:space="0"/>
              <w:right w:val="single" w:color="000000" w:sz="4" w:space="0"/>
            </w:tcBorders>
          </w:tcPr>
          <w:p>
            <w:pPr>
              <w:jc w:val="center"/>
              <w:rPr>
                <w:color w:val="auto"/>
              </w:rPr>
            </w:pPr>
            <w:r>
              <w:rPr>
                <w:rFonts w:hint="eastAsia" w:ascii="宋体" w:hAnsi="宋体" w:eastAsia="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7</w:t>
            </w:r>
            <w:r>
              <w:rPr>
                <w:rFonts w:ascii="宋体" w:hAnsi="宋体" w:cs="宋体" w:eastAsiaTheme="minorEastAsia"/>
                <w:color w:val="auto"/>
              </w:rPr>
              <w:t>0</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restart"/>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无线</w:t>
            </w:r>
          </w:p>
          <w:p>
            <w:pPr>
              <w:jc w:val="center"/>
              <w:rPr>
                <w:rFonts w:ascii="宋体" w:hAnsi="宋体" w:cs="宋体"/>
                <w:color w:val="auto"/>
              </w:rPr>
            </w:pPr>
            <w:r>
              <w:rPr>
                <w:rFonts w:hint="eastAsia" w:ascii="宋体" w:hAnsi="宋体" w:cs="宋体"/>
                <w:color w:val="auto"/>
              </w:rPr>
              <w:t>AP</w:t>
            </w:r>
          </w:p>
          <w:p>
            <w:pPr>
              <w:jc w:val="center"/>
              <w:rPr>
                <w:rFonts w:ascii="宋体" w:hAnsi="宋体" w:cs="宋体"/>
                <w:color w:val="auto"/>
              </w:rPr>
            </w:pPr>
            <w:r>
              <w:rPr>
                <w:rFonts w:hint="eastAsia" w:ascii="宋体" w:hAnsi="宋体" w:cs="宋体"/>
                <w:color w:val="auto"/>
              </w:rPr>
              <w:t>系统</w:t>
            </w:r>
          </w:p>
          <w:p>
            <w:pPr>
              <w:jc w:val="center"/>
              <w:rPr>
                <w:rFonts w:ascii="宋体" w:hAnsi="宋体" w:cs="宋体"/>
                <w:color w:val="auto"/>
              </w:rPr>
            </w:pPr>
            <w:r>
              <w:rPr>
                <w:rFonts w:hint="eastAsia" w:ascii="宋体" w:hAnsi="宋体" w:cs="宋体"/>
                <w:color w:val="auto"/>
              </w:rPr>
              <w:t>设备</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控制器</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ascii="宋体" w:hAnsi="宋体" w:cs="宋体"/>
                <w:color w:val="auto"/>
              </w:rPr>
              <w:t>NAC-6350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eastAsiaTheme="minorEastAsia"/>
                <w:color w:val="auto"/>
              </w:rPr>
            </w:pPr>
            <w:r>
              <w:rPr>
                <w:rFonts w:hint="eastAsia" w:ascii="宋体" w:hAnsi="宋体" w:cs="宋体" w:eastAsiaTheme="minorEastAsia"/>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汇聚交换机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eastAsia="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RS5300-28X-SI</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4</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POE交换机</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SW-5024</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15</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室外AP</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NAP-8100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2</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室内AP</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NAP-3700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137</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auto"/>
              </w:rPr>
            </w:pP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室内高密AP</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信锐</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NAP-4650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台</w:t>
            </w: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8</w:t>
            </w: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r>
      <w:tr>
        <w:tblPrEx>
          <w:tblCellMar>
            <w:top w:w="0" w:type="dxa"/>
            <w:left w:w="108" w:type="dxa"/>
            <w:bottom w:w="0" w:type="dxa"/>
            <w:right w:w="108" w:type="dxa"/>
          </w:tblCellMar>
        </w:tblPrEx>
        <w:trPr>
          <w:trHeight w:val="312" w:hRule="atLeast"/>
          <w:jc w:val="center"/>
        </w:trPr>
        <w:tc>
          <w:tcPr>
            <w:tcW w:w="863"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虚拟化</w:t>
            </w:r>
          </w:p>
        </w:tc>
        <w:tc>
          <w:tcPr>
            <w:tcW w:w="174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VMWARE</w:t>
            </w:r>
          </w:p>
        </w:tc>
        <w:tc>
          <w:tcPr>
            <w:tcW w:w="10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VMWARE</w:t>
            </w:r>
          </w:p>
        </w:tc>
        <w:tc>
          <w:tcPr>
            <w:tcW w:w="18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VMWARE 7.0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c>
          <w:tcPr>
            <w:tcW w:w="13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p>
        </w:tc>
        <w:tc>
          <w:tcPr>
            <w:tcW w:w="17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rPr>
            </w:pPr>
            <w:r>
              <w:rPr>
                <w:rFonts w:hint="eastAsia" w:ascii="宋体" w:hAnsi="宋体" w:cs="宋体"/>
                <w:color w:val="auto"/>
              </w:rPr>
              <w:t>资源池</w:t>
            </w:r>
          </w:p>
        </w:tc>
      </w:tr>
    </w:tbl>
    <w:p>
      <w:pPr>
        <w:ind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除上述内容外，还包含但不限于：园区内电脑、打印机、电话机等终端设备以及部分办公室、实验室的网络改造等。</w:t>
      </w:r>
    </w:p>
    <w:p>
      <w:pPr>
        <w:ind w:left="58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(二) 维保服务要求 (包括但不限于)</w:t>
      </w:r>
    </w:p>
    <w:p>
      <w:pPr>
        <w:spacing w:before="138"/>
        <w:ind w:firstLine="720" w:firstLineChars="300"/>
        <w:rPr>
          <w:rFonts w:cs="宋体" w:asciiTheme="minorEastAsia" w:hAnsiTheme="minorEastAsia" w:eastAsiaTheme="minorEastAsia"/>
          <w:sz w:val="24"/>
          <w:szCs w:val="24"/>
        </w:rPr>
      </w:pPr>
      <w:r>
        <w:rPr>
          <w:rFonts w:cs="宋体" w:asciiTheme="minorEastAsia" w:hAnsiTheme="minorEastAsia" w:eastAsiaTheme="minorEastAsia"/>
          <w:sz w:val="24"/>
          <w:szCs w:val="24"/>
        </w:rPr>
        <w:t>1. 软件维保服务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对服务器、存储、虚拟化资源池、网络系统（内网、外网、无线）、安全设备、电话系统等进行日常维护，并在出现各类故障时及时进行处理。同时对软件系统进行不定期升级服务，对业务系统运行出现的性能下降等问题，进行问题定位、分析原因，并提出解决方案。</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2. 硬件维保服务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定期检查维保设备的硬件状态，免费检测、定位及更换故障零配件，零配件的购买按照供应商零配件报价清单进行采购；同时对硬件设备内置软件系统提供升级服务；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所有需要更换的备品备件必须是原厂全新部件，若需要更换的部件因厂家停产原因，则需得到甲方同意后，保证设备运行正常的情况下提供同样功能备件，必要时需提供备机，确保第一时间恢复故障。</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3. 定期巡检及网络环境配置优化</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需提供每月一次的巡检服务，并于巡检后5个工作日内出具巡检报告。服务期末提供服务期总体服务报告。服务期内视情况，对网络环境进行配置优化、调优等。</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4. 驻场服务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本次项目需提供1名 7×24 小时驻场人员，第一时间受理院内报障信息，按照维护流程及时高效的处理故障。此项服务供应商应提供承诺书 (函) ，否则视为无效响应。</w:t>
      </w:r>
    </w:p>
    <w:p>
      <w:pPr>
        <w:spacing w:before="139"/>
        <w:ind w:left="10"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驻场要求：</w:t>
      </w:r>
      <w:r>
        <w:rPr>
          <w:rFonts w:cs="宋体" w:asciiTheme="minorEastAsia" w:hAnsiTheme="minorEastAsia" w:eastAsiaTheme="minorEastAsia"/>
          <w:sz w:val="24"/>
          <w:szCs w:val="24"/>
        </w:rPr>
        <w:t>1</w:t>
      </w:r>
      <w:r>
        <w:rPr>
          <w:rFonts w:hint="eastAsia" w:cs="宋体" w:asciiTheme="minorEastAsia" w:hAnsiTheme="minorEastAsia" w:eastAsiaTheme="minorEastAsia"/>
          <w:sz w:val="24"/>
          <w:szCs w:val="24"/>
        </w:rPr>
        <w:t>名，</w:t>
      </w:r>
      <w:r>
        <w:rPr>
          <w:rFonts w:cs="宋体" w:asciiTheme="minorEastAsia" w:hAnsiTheme="minorEastAsia" w:eastAsiaTheme="minorEastAsia"/>
          <w:sz w:val="24"/>
          <w:szCs w:val="24"/>
        </w:rPr>
        <w:t>7×24</w:t>
      </w:r>
      <w:r>
        <w:rPr>
          <w:rFonts w:hint="eastAsia" w:cs="宋体" w:asciiTheme="minorEastAsia" w:hAnsiTheme="minorEastAsia" w:eastAsiaTheme="minorEastAsia"/>
          <w:sz w:val="24"/>
          <w:szCs w:val="24"/>
        </w:rPr>
        <w:t>小时。需具备网络设备厂家认证工程师证书、安全产品厂家认证工程师证书、操作系统厂家或虚拟化产品厂家认证工程师证书、网络分析厂家认证证书、数据安全厂家认证证书上上述中任意三类认证工程师</w:t>
      </w:r>
      <w:r>
        <w:rPr>
          <w:rFonts w:cs="宋体" w:asciiTheme="minorEastAsia" w:hAnsiTheme="minorEastAsia" w:eastAsiaTheme="minorEastAsia"/>
          <w:sz w:val="24"/>
          <w:szCs w:val="24"/>
        </w:rPr>
        <w:t>(需提供驻场人员所在单位近 六个月内连续三个月的社保缴纳证明，否则视为非实质性响应)</w:t>
      </w:r>
      <w:r>
        <w:rPr>
          <w:rFonts w:hint="eastAsia" w:cs="宋体" w:asciiTheme="minorEastAsia" w:hAnsiTheme="minorEastAsia" w:eastAsiaTheme="minorEastAsia"/>
          <w:sz w:val="24"/>
          <w:szCs w:val="24"/>
        </w:rPr>
        <w:t>。</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5. 培训服务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需要对院方指定的网络、系统管理员进行培训，服务期内培训次数不少于 2 次，培训内容由院方指定。</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6. 其他服务</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 xml:space="preserve">针对院内现有网络及管理要求，提供优化服务和改造服务。另外，供应商应提供承诺书 </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t>(函) ，明确承诺在运维服务期内甲方如有等保定级需求，应免费提供技术支持服务，否则视为非实质性响应。</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7. 故障处理时效要求</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根据故障的严重程度和影响程度的不同，故障级别由低到高分为四级故障、三级故障、 二级故障、一级故障。当故障没有在规定时限内恢复或解决时，故障级别将自动升级。</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(1) 一级故障是指设备在运行中出现系统瘫痪或服务中断，导致设备的基本功能不能实现或全面退化的故障，其他造成业务系统中断2个小时以上或导致关键业务数据丢失的故障。</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(2) 二级故障是指系统存在局部故障或者隐患，随时都有可能会导致系统发生一级故障的故障。</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(3) 三级故障是指系统存在局部故障或者安全隐患，但是该故障基本不会导致一级故障的发生。</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(4) 四级故障是指系统存在轻微局部故障，对业务及系统基本无大的影响。</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提供 7*24 小时电话响应，为院方提供技术支持及咨询服务，电话接通率大于98%。</w:t>
      </w:r>
    </w:p>
    <w:p>
      <w:pPr>
        <w:ind w:firstLine="480" w:firstLineChars="200"/>
        <w:rPr>
          <w:rFonts w:asciiTheme="minorEastAsia" w:hAnsiTheme="minorEastAsia" w:eastAsiaTheme="minorEastAsia"/>
          <w:sz w:val="24"/>
          <w:szCs w:val="24"/>
        </w:rPr>
      </w:pPr>
    </w:p>
    <w:p>
      <w:pPr>
        <w:ind w:firstLine="480" w:firstLineChars="200"/>
        <w:rPr>
          <w:rFonts w:asciiTheme="minorEastAsia" w:hAnsiTheme="minorEastAsia" w:eastAsiaTheme="minorEastAsia"/>
          <w:sz w:val="24"/>
          <w:szCs w:val="24"/>
        </w:rPr>
      </w:pPr>
    </w:p>
    <w:tbl>
      <w:tblPr>
        <w:tblStyle w:val="7"/>
        <w:tblW w:w="7181" w:type="dxa"/>
        <w:tblInd w:w="4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0"/>
        <w:gridCol w:w="1701"/>
        <w:gridCol w:w="1417"/>
        <w:gridCol w:w="18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2220" w:type="dxa"/>
          </w:tcPr>
          <w:p>
            <w:pPr>
              <w:jc w:val="center"/>
              <w:rPr>
                <w:rFonts w:ascii="宋体" w:hAnsi="宋体" w:cs="宋体"/>
                <w:sz w:val="21"/>
              </w:rPr>
            </w:pPr>
            <w:r>
              <w:rPr>
                <w:rFonts w:hint="eastAsia" w:ascii="微软雅黑" w:hAnsi="微软雅黑" w:eastAsia="微软雅黑" w:cs="微软雅黑"/>
                <w:sz w:val="21"/>
              </w:rPr>
              <w:t>故障级别</w:t>
            </w:r>
          </w:p>
        </w:tc>
        <w:tc>
          <w:tcPr>
            <w:tcW w:w="1701" w:type="dxa"/>
          </w:tcPr>
          <w:p>
            <w:pPr>
              <w:jc w:val="center"/>
              <w:rPr>
                <w:rFonts w:ascii="微软雅黑" w:hAnsi="微软雅黑" w:eastAsia="微软雅黑" w:cs="微软雅黑"/>
                <w:sz w:val="21"/>
              </w:rPr>
            </w:pPr>
            <w:r>
              <w:rPr>
                <w:rFonts w:ascii="微软雅黑" w:hAnsi="微软雅黑" w:eastAsia="微软雅黑" w:cs="微软雅黑"/>
                <w:sz w:val="21"/>
              </w:rPr>
              <w:t>到达报障现</w:t>
            </w:r>
          </w:p>
          <w:p>
            <w:pPr>
              <w:jc w:val="center"/>
              <w:rPr>
                <w:rFonts w:ascii="微软雅黑" w:hAnsi="微软雅黑" w:eastAsia="微软雅黑" w:cs="微软雅黑"/>
                <w:sz w:val="21"/>
              </w:rPr>
            </w:pPr>
            <w:r>
              <w:rPr>
                <w:rFonts w:ascii="微软雅黑" w:hAnsi="微软雅黑" w:eastAsia="微软雅黑" w:cs="微软雅黑"/>
                <w:sz w:val="21"/>
              </w:rPr>
              <w:t>场时间</w:t>
            </w:r>
          </w:p>
        </w:tc>
        <w:tc>
          <w:tcPr>
            <w:tcW w:w="1417" w:type="dxa"/>
          </w:tcPr>
          <w:p>
            <w:pPr>
              <w:jc w:val="center"/>
              <w:rPr>
                <w:rFonts w:ascii="微软雅黑" w:hAnsi="微软雅黑" w:eastAsia="微软雅黑" w:cs="微软雅黑"/>
                <w:sz w:val="21"/>
              </w:rPr>
            </w:pPr>
            <w:r>
              <w:rPr>
                <w:rFonts w:ascii="微软雅黑" w:hAnsi="微软雅黑" w:eastAsia="微软雅黑" w:cs="微软雅黑"/>
                <w:sz w:val="21"/>
              </w:rPr>
              <w:t>业务恢复时间</w:t>
            </w:r>
          </w:p>
        </w:tc>
        <w:tc>
          <w:tcPr>
            <w:tcW w:w="1843" w:type="dxa"/>
          </w:tcPr>
          <w:p>
            <w:pPr>
              <w:jc w:val="center"/>
              <w:rPr>
                <w:rFonts w:ascii="微软雅黑" w:hAnsi="微软雅黑" w:eastAsia="微软雅黑" w:cs="微软雅黑"/>
                <w:sz w:val="21"/>
              </w:rPr>
            </w:pPr>
            <w:r>
              <w:rPr>
                <w:rFonts w:ascii="微软雅黑" w:hAnsi="微软雅黑" w:eastAsia="微软雅黑" w:cs="微软雅黑"/>
                <w:sz w:val="21"/>
              </w:rPr>
              <w:t>硬件故障解决时间</w:t>
            </w:r>
          </w:p>
          <w:p>
            <w:pPr>
              <w:jc w:val="center"/>
              <w:rPr>
                <w:rFonts w:ascii="微软雅黑" w:hAnsi="微软雅黑" w:eastAsia="微软雅黑" w:cs="微软雅黑"/>
                <w:sz w:val="21"/>
              </w:rPr>
            </w:pPr>
            <w:r>
              <w:rPr>
                <w:rFonts w:ascii="微软雅黑" w:hAnsi="微软雅黑" w:eastAsia="微软雅黑" w:cs="微软雅黑"/>
                <w:sz w:val="21"/>
              </w:rPr>
              <w:t>(必要时更换备件)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2220" w:type="dxa"/>
          </w:tcPr>
          <w:p>
            <w:pPr>
              <w:jc w:val="center"/>
              <w:rPr>
                <w:rFonts w:ascii="宋体" w:hAnsi="宋体" w:cs="宋体"/>
                <w:sz w:val="21"/>
              </w:rPr>
            </w:pPr>
            <w:r>
              <w:rPr>
                <w:rFonts w:hint="eastAsia" w:ascii="微软雅黑" w:hAnsi="微软雅黑" w:eastAsia="微软雅黑" w:cs="微软雅黑"/>
                <w:sz w:val="21"/>
              </w:rPr>
              <w:t>一级：重大故障</w:t>
            </w:r>
          </w:p>
        </w:tc>
        <w:tc>
          <w:tcPr>
            <w:tcW w:w="1701" w:type="dxa"/>
          </w:tcPr>
          <w:p>
            <w:pPr>
              <w:jc w:val="center"/>
              <w:rPr>
                <w:rFonts w:ascii="微软雅黑" w:hAnsi="微软雅黑" w:eastAsia="微软雅黑" w:cs="微软雅黑"/>
                <w:sz w:val="21"/>
              </w:rPr>
            </w:pPr>
            <w:r>
              <w:rPr>
                <w:rFonts w:ascii="微软雅黑" w:hAnsi="微软雅黑" w:eastAsia="微软雅黑" w:cs="微软雅黑"/>
                <w:sz w:val="21"/>
              </w:rPr>
              <w:t>3 分钟</w:t>
            </w:r>
          </w:p>
        </w:tc>
        <w:tc>
          <w:tcPr>
            <w:tcW w:w="1417" w:type="dxa"/>
          </w:tcPr>
          <w:p>
            <w:pPr>
              <w:jc w:val="center"/>
              <w:rPr>
                <w:rFonts w:ascii="微软雅黑" w:hAnsi="微软雅黑" w:eastAsia="微软雅黑" w:cs="微软雅黑"/>
                <w:sz w:val="21"/>
              </w:rPr>
            </w:pPr>
            <w:r>
              <w:rPr>
                <w:rFonts w:ascii="微软雅黑" w:hAnsi="微软雅黑" w:eastAsia="微软雅黑" w:cs="微软雅黑"/>
                <w:sz w:val="21"/>
              </w:rPr>
              <w:t>4 小时内</w:t>
            </w:r>
          </w:p>
        </w:tc>
        <w:tc>
          <w:tcPr>
            <w:tcW w:w="1843" w:type="dxa"/>
          </w:tcPr>
          <w:p>
            <w:pPr>
              <w:jc w:val="center"/>
              <w:rPr>
                <w:rFonts w:ascii="微软雅黑" w:hAnsi="微软雅黑" w:eastAsia="微软雅黑" w:cs="微软雅黑"/>
                <w:sz w:val="21"/>
              </w:rPr>
            </w:pPr>
            <w:r>
              <w:rPr>
                <w:rFonts w:ascii="微软雅黑" w:hAnsi="微软雅黑" w:eastAsia="微软雅黑" w:cs="微软雅黑"/>
                <w:sz w:val="21"/>
              </w:rPr>
              <w:t>6 小时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2220" w:type="dxa"/>
          </w:tcPr>
          <w:p>
            <w:pPr>
              <w:jc w:val="center"/>
              <w:rPr>
                <w:rFonts w:ascii="宋体" w:hAnsi="宋体" w:cs="宋体"/>
                <w:sz w:val="21"/>
              </w:rPr>
            </w:pPr>
            <w:r>
              <w:rPr>
                <w:rFonts w:hint="eastAsia" w:ascii="微软雅黑" w:hAnsi="微软雅黑" w:eastAsia="微软雅黑" w:cs="微软雅黑"/>
                <w:sz w:val="21"/>
              </w:rPr>
              <w:t>二级：严重故障</w:t>
            </w:r>
          </w:p>
        </w:tc>
        <w:tc>
          <w:tcPr>
            <w:tcW w:w="1701" w:type="dxa"/>
          </w:tcPr>
          <w:p>
            <w:pPr>
              <w:jc w:val="center"/>
              <w:rPr>
                <w:rFonts w:ascii="微软雅黑" w:hAnsi="微软雅黑" w:eastAsia="微软雅黑" w:cs="微软雅黑"/>
                <w:sz w:val="21"/>
              </w:rPr>
            </w:pPr>
            <w:r>
              <w:rPr>
                <w:rFonts w:ascii="微软雅黑" w:hAnsi="微软雅黑" w:eastAsia="微软雅黑" w:cs="微软雅黑"/>
                <w:sz w:val="21"/>
              </w:rPr>
              <w:t>5 分钟</w:t>
            </w:r>
          </w:p>
        </w:tc>
        <w:tc>
          <w:tcPr>
            <w:tcW w:w="1417" w:type="dxa"/>
          </w:tcPr>
          <w:p>
            <w:pPr>
              <w:jc w:val="center"/>
              <w:rPr>
                <w:rFonts w:ascii="微软雅黑" w:hAnsi="微软雅黑" w:eastAsia="微软雅黑" w:cs="微软雅黑"/>
                <w:sz w:val="21"/>
              </w:rPr>
            </w:pPr>
            <w:r>
              <w:rPr>
                <w:rFonts w:ascii="微软雅黑" w:hAnsi="微软雅黑" w:eastAsia="微软雅黑" w:cs="微软雅黑"/>
                <w:sz w:val="21"/>
              </w:rPr>
              <w:t>4 小时内</w:t>
            </w:r>
          </w:p>
        </w:tc>
        <w:tc>
          <w:tcPr>
            <w:tcW w:w="1843" w:type="dxa"/>
          </w:tcPr>
          <w:p>
            <w:pPr>
              <w:jc w:val="center"/>
              <w:rPr>
                <w:rFonts w:ascii="微软雅黑" w:hAnsi="微软雅黑" w:eastAsia="微软雅黑" w:cs="微软雅黑"/>
                <w:sz w:val="21"/>
              </w:rPr>
            </w:pPr>
            <w:r>
              <w:rPr>
                <w:rFonts w:ascii="微软雅黑" w:hAnsi="微软雅黑" w:eastAsia="微软雅黑" w:cs="微软雅黑"/>
                <w:sz w:val="21"/>
              </w:rPr>
              <w:t>6 小时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2220" w:type="dxa"/>
          </w:tcPr>
          <w:p>
            <w:pPr>
              <w:jc w:val="center"/>
              <w:rPr>
                <w:rFonts w:ascii="宋体" w:hAnsi="宋体" w:cs="宋体"/>
                <w:sz w:val="21"/>
              </w:rPr>
            </w:pPr>
            <w:r>
              <w:rPr>
                <w:rFonts w:hint="eastAsia" w:ascii="微软雅黑" w:hAnsi="微软雅黑" w:eastAsia="微软雅黑" w:cs="微软雅黑"/>
                <w:sz w:val="21"/>
              </w:rPr>
              <w:t>三级：一般性技术故障</w:t>
            </w:r>
          </w:p>
        </w:tc>
        <w:tc>
          <w:tcPr>
            <w:tcW w:w="1701" w:type="dxa"/>
          </w:tcPr>
          <w:p>
            <w:pPr>
              <w:jc w:val="center"/>
              <w:rPr>
                <w:rFonts w:ascii="微软雅黑" w:hAnsi="微软雅黑" w:eastAsia="微软雅黑" w:cs="微软雅黑"/>
                <w:sz w:val="21"/>
              </w:rPr>
            </w:pPr>
            <w:r>
              <w:rPr>
                <w:rFonts w:ascii="微软雅黑" w:hAnsi="微软雅黑" w:eastAsia="微软雅黑" w:cs="微软雅黑"/>
                <w:sz w:val="21"/>
              </w:rPr>
              <w:t>10 分钟内</w:t>
            </w:r>
          </w:p>
        </w:tc>
        <w:tc>
          <w:tcPr>
            <w:tcW w:w="1417" w:type="dxa"/>
          </w:tcPr>
          <w:p>
            <w:pPr>
              <w:jc w:val="center"/>
              <w:rPr>
                <w:rFonts w:ascii="微软雅黑" w:hAnsi="微软雅黑" w:eastAsia="微软雅黑" w:cs="微软雅黑"/>
                <w:sz w:val="21"/>
              </w:rPr>
            </w:pPr>
            <w:r>
              <w:rPr>
                <w:rFonts w:ascii="微软雅黑" w:hAnsi="微软雅黑" w:eastAsia="微软雅黑" w:cs="微软雅黑"/>
                <w:sz w:val="21"/>
              </w:rPr>
              <w:t>2 小时</w:t>
            </w:r>
          </w:p>
        </w:tc>
        <w:tc>
          <w:tcPr>
            <w:tcW w:w="1843" w:type="dxa"/>
          </w:tcPr>
          <w:p>
            <w:pPr>
              <w:jc w:val="center"/>
              <w:rPr>
                <w:rFonts w:ascii="微软雅黑" w:hAnsi="微软雅黑" w:eastAsia="微软雅黑" w:cs="微软雅黑"/>
                <w:sz w:val="21"/>
              </w:rPr>
            </w:pPr>
            <w:r>
              <w:rPr>
                <w:rFonts w:ascii="微软雅黑" w:hAnsi="微软雅黑" w:eastAsia="微软雅黑" w:cs="微软雅黑"/>
                <w:sz w:val="21"/>
              </w:rPr>
              <w:t>3 小时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220" w:type="dxa"/>
          </w:tcPr>
          <w:p>
            <w:pPr>
              <w:jc w:val="center"/>
              <w:rPr>
                <w:rFonts w:ascii="宋体" w:hAnsi="宋体" w:cs="宋体"/>
                <w:sz w:val="21"/>
              </w:rPr>
            </w:pPr>
            <w:r>
              <w:rPr>
                <w:rFonts w:hint="eastAsia" w:ascii="微软雅黑" w:hAnsi="微软雅黑" w:eastAsia="微软雅黑" w:cs="微软雅黑"/>
                <w:sz w:val="21"/>
              </w:rPr>
              <w:t>四级：其他</w:t>
            </w:r>
          </w:p>
        </w:tc>
        <w:tc>
          <w:tcPr>
            <w:tcW w:w="1701" w:type="dxa"/>
          </w:tcPr>
          <w:p>
            <w:pPr>
              <w:jc w:val="center"/>
              <w:rPr>
                <w:rFonts w:ascii="微软雅黑" w:hAnsi="微软雅黑" w:eastAsia="微软雅黑" w:cs="微软雅黑"/>
                <w:sz w:val="21"/>
              </w:rPr>
            </w:pPr>
            <w:r>
              <w:rPr>
                <w:rFonts w:ascii="微软雅黑" w:hAnsi="微软雅黑" w:eastAsia="微软雅黑" w:cs="微软雅黑"/>
                <w:sz w:val="21"/>
              </w:rPr>
              <w:t>10 分钟内</w:t>
            </w:r>
          </w:p>
        </w:tc>
        <w:tc>
          <w:tcPr>
            <w:tcW w:w="1417" w:type="dxa"/>
          </w:tcPr>
          <w:p>
            <w:pPr>
              <w:jc w:val="center"/>
              <w:rPr>
                <w:rFonts w:ascii="微软雅黑" w:hAnsi="微软雅黑" w:eastAsia="微软雅黑" w:cs="微软雅黑"/>
                <w:sz w:val="21"/>
              </w:rPr>
            </w:pPr>
            <w:r>
              <w:rPr>
                <w:rFonts w:ascii="微软雅黑" w:hAnsi="微软雅黑" w:eastAsia="微软雅黑" w:cs="微软雅黑"/>
                <w:sz w:val="21"/>
              </w:rPr>
              <w:t>2 小时</w:t>
            </w:r>
          </w:p>
        </w:tc>
        <w:tc>
          <w:tcPr>
            <w:tcW w:w="1843" w:type="dxa"/>
          </w:tcPr>
          <w:p>
            <w:pPr>
              <w:jc w:val="center"/>
              <w:rPr>
                <w:rFonts w:ascii="微软雅黑" w:hAnsi="微软雅黑" w:eastAsia="微软雅黑" w:cs="微软雅黑"/>
                <w:sz w:val="21"/>
              </w:rPr>
            </w:pPr>
            <w:r>
              <w:rPr>
                <w:rFonts w:ascii="微软雅黑" w:hAnsi="微软雅黑" w:eastAsia="微软雅黑" w:cs="微软雅黑"/>
                <w:sz w:val="21"/>
              </w:rPr>
              <w:t>3 小时</w:t>
            </w:r>
          </w:p>
        </w:tc>
      </w:tr>
    </w:tbl>
    <w:p>
      <w:pPr>
        <w:numPr>
          <w:ilvl w:val="0"/>
          <w:numId w:val="1"/>
        </w:numPr>
        <w:spacing w:before="200" w:after="200"/>
        <w:ind w:left="11" w:firstLine="480" w:firstLineChars="200"/>
        <w:rPr>
          <w:rFonts w:hint="eastAsia" w:cs="宋体" w:asciiTheme="minorEastAsia" w:hAnsiTheme="minorEastAsia" w:eastAsiaTheme="minorEastAsia"/>
          <w:position w:val="2"/>
          <w:sz w:val="24"/>
          <w:szCs w:val="24"/>
          <w:lang w:val="en-US" w:eastAsia="zh-CN"/>
          <w14:textOutline w14:w="4356" w14:cap="sq" w14:cmpd="sng" w14:algn="ctr">
            <w14:solidFill>
              <w14:srgbClr w14:val="000000"/>
            </w14:solidFill>
            <w14:prstDash w14:val="solid"/>
            <w14:bevel/>
          </w14:textOutline>
        </w:rPr>
      </w:pPr>
      <w:r>
        <w:rPr>
          <w:rFonts w:hint="eastAsia" w:cs="宋体" w:asciiTheme="minorEastAsia" w:hAnsiTheme="minorEastAsia" w:eastAsiaTheme="minorEastAsia"/>
          <w:position w:val="2"/>
          <w:sz w:val="24"/>
          <w:szCs w:val="24"/>
          <w:lang w:val="en-US" w:eastAsia="zh-CN"/>
          <w14:textOutline w14:w="4356" w14:cap="sq" w14:cmpd="sng" w14:algn="ctr">
            <w14:solidFill>
              <w14:srgbClr w14:val="000000"/>
            </w14:solidFill>
            <w14:prstDash w14:val="solid"/>
            <w14:bevel/>
          </w14:textOutline>
        </w:rPr>
        <w:t>维保服务预算</w:t>
      </w:r>
    </w:p>
    <w:p>
      <w:pPr>
        <w:spacing w:before="139"/>
        <w:ind w:left="10" w:firstLine="480" w:firstLineChars="200"/>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本次IT系统运维服务预算为35万元，其中服务费13万，配件费22万</w:t>
      </w:r>
      <w:bookmarkStart w:id="0" w:name="_GoBack"/>
      <w:bookmarkEnd w:id="0"/>
      <w:r>
        <w:rPr>
          <w:rFonts w:hint="eastAsia" w:cs="宋体" w:asciiTheme="minorEastAsia" w:hAnsiTheme="minorEastAsia" w:eastAsiaTheme="minorEastAsia"/>
          <w:sz w:val="24"/>
          <w:szCs w:val="24"/>
          <w:lang w:val="en-US" w:eastAsia="zh-CN"/>
        </w:rPr>
        <w:t>。</w:t>
      </w:r>
    </w:p>
    <w:p>
      <w:pPr>
        <w:spacing w:before="200" w:after="200"/>
        <w:ind w:left="11" w:firstLine="480" w:firstLineChars="200"/>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pPr>
      <w:r>
        <w:rPr>
          <w:rFonts w:hint="eastAsia" w:cs="宋体" w:asciiTheme="minorEastAsia" w:hAnsiTheme="minorEastAsia" w:eastAsiaTheme="minorEastAsia"/>
          <w:position w:val="2"/>
          <w:sz w:val="24"/>
          <w:szCs w:val="24"/>
          <w:lang w:val="en-US" w:eastAsia="zh-CN"/>
          <w14:textOutline w14:w="4356" w14:cap="sq" w14:cmpd="sng" w14:algn="ctr">
            <w14:solidFill>
              <w14:srgbClr w14:val="000000"/>
            </w14:solidFill>
            <w14:prstDash w14:val="solid"/>
            <w14:bevel/>
          </w14:textOutline>
        </w:rPr>
        <w:t>五</w:t>
      </w:r>
      <w:r>
        <w:rPr>
          <w:rFonts w:cs="宋体" w:asciiTheme="minorEastAsia" w:hAnsiTheme="minorEastAsia" w:eastAsiaTheme="minorEastAsia"/>
          <w:position w:val="2"/>
          <w:sz w:val="24"/>
          <w:szCs w:val="24"/>
          <w14:textOutline w14:w="4356" w14:cap="sq" w14:cmpd="sng" w14:algn="ctr">
            <w14:solidFill>
              <w14:srgbClr w14:val="000000"/>
            </w14:solidFill>
            <w14:prstDash w14:val="solid"/>
            <w14:bevel/>
          </w14:textOutline>
        </w:rPr>
        <w:t>、商务要求</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1.驻场服务期限：合同签订后不少于 12 个月；</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2.结算方式：合同签订后，即进入驻场运维服务期，服务期满3个月后成交单位在采购人处办理25%的运维部分支付款，服务期满6个月后再支付运维部分金额的25%，服务期满9个月后再支付运维部分金额的25%，服务期满12个月后再支付运维部分金额的25%。成交单位在按季度申请支付运维部分费用时，应同时提交本季度因“更换设备、网络改造等”产生的据实结算部分的费用，由甲方按季度一并支付。</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3.季度考核：每3个月，实验室运维部对驻场人员及成交单位运维团队进行考核，考核为优秀，全额支付本次约定支付的运维费用；考核为良好，支付本次约定支付的80%运维费用；考核为合格，支付本次约定支付的60%运维费用；考核为不合格，支付本次约定支付的50%运维费用；</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4.驻场人员：驻场人员应熟悉园区内网络环境，未经用户同意不得随意更换，服务期内人员变动不得超过2次，否则，甲方有权按违约处罚。另外，驻场服务的认证工程师每天 24 小时驻场服务所产生的一切费用由供应商自行承担 (需提供书面承诺函，否则视为无无效文件) 。</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5.违约处罚：服务期内供应商未按照服务要求提供服务或未在规定时限内排除故障，每次扣除 1000 元作为违约金；造成全院网络瘫痪超过 4 小时，每次扣除 2000 元作为违约金、超过8小时，每次扣除 5000 元作为违约金；每季度考核不合格，扣除 2000 元作为违约金；驻场人员无故离岗或缺席 (2 小时内) ，每次扣除 500 元作为违约金，每季度无故离岗或缺席累计 12 小时，每次按1000 元扣除作为违约金。</w:t>
      </w:r>
    </w:p>
    <w:p>
      <w:pPr>
        <w:spacing w:before="139"/>
        <w:ind w:left="10" w:firstLine="480" w:firstLineChars="200"/>
        <w:rPr>
          <w:rFonts w:cs="宋体" w:asciiTheme="minorEastAsia" w:hAnsiTheme="minorEastAsia" w:eastAsiaTheme="minorEastAsia"/>
          <w:sz w:val="24"/>
          <w:szCs w:val="24"/>
        </w:rPr>
      </w:pPr>
      <w:r>
        <w:rPr>
          <w:rFonts w:cs="宋体" w:asciiTheme="minorEastAsia" w:hAnsiTheme="minorEastAsia" w:eastAsiaTheme="minorEastAsia"/>
          <w:sz w:val="24"/>
          <w:szCs w:val="24"/>
        </w:rPr>
        <w:t>不可抗力因素除外 (地震、火灾、水灾、疫情、停电等等)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0" w:lineRule="auto"/>
      <w:ind w:left="4514"/>
      <w:rPr>
        <w:rFonts w:ascii="宋体" w:hAnsi="宋体" w:eastAsia="宋体" w:cs="宋体"/>
        <w:sz w:val="17"/>
        <w:szCs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6" w:line="230" w:lineRule="auto"/>
      <w:ind w:left="20"/>
      <w:rPr>
        <w:rFonts w:ascii="宋体" w:hAnsi="宋体" w:eastAsia="宋体" w:cs="宋体"/>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257B"/>
    <w:multiLevelType w:val="singleLevel"/>
    <w:tmpl w:val="057A257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5AF"/>
    <w:rsid w:val="00150AE2"/>
    <w:rsid w:val="001A1D5B"/>
    <w:rsid w:val="001B1C2F"/>
    <w:rsid w:val="001D62C6"/>
    <w:rsid w:val="00232FAF"/>
    <w:rsid w:val="002F1038"/>
    <w:rsid w:val="00423569"/>
    <w:rsid w:val="004408A6"/>
    <w:rsid w:val="005211B0"/>
    <w:rsid w:val="00570089"/>
    <w:rsid w:val="005C19D1"/>
    <w:rsid w:val="00645A3D"/>
    <w:rsid w:val="007066FF"/>
    <w:rsid w:val="00740B8B"/>
    <w:rsid w:val="00755F5F"/>
    <w:rsid w:val="007B0BA5"/>
    <w:rsid w:val="007F53B9"/>
    <w:rsid w:val="008B210A"/>
    <w:rsid w:val="009F5021"/>
    <w:rsid w:val="00A545C9"/>
    <w:rsid w:val="00A92551"/>
    <w:rsid w:val="00AB74CE"/>
    <w:rsid w:val="00B053F1"/>
    <w:rsid w:val="00B46E2E"/>
    <w:rsid w:val="00BB0BB2"/>
    <w:rsid w:val="00BF0B9A"/>
    <w:rsid w:val="00CB4E0A"/>
    <w:rsid w:val="00D27088"/>
    <w:rsid w:val="00D3139B"/>
    <w:rsid w:val="00D93E49"/>
    <w:rsid w:val="00DA1CE0"/>
    <w:rsid w:val="00DD5B69"/>
    <w:rsid w:val="00E71A0F"/>
    <w:rsid w:val="00E970A4"/>
    <w:rsid w:val="00F9233F"/>
    <w:rsid w:val="00FA15AF"/>
    <w:rsid w:val="00FC1728"/>
    <w:rsid w:val="00FF4258"/>
    <w:rsid w:val="13484B32"/>
    <w:rsid w:val="2B416F7B"/>
    <w:rsid w:val="3C6A3224"/>
    <w:rsid w:val="3EDD4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rPr>
      <w:rFonts w:ascii="Arial" w:hAnsi="Arial" w:cs="Arial"/>
      <w:kern w:val="0"/>
      <w:sz w:val="20"/>
      <w:szCs w:val="20"/>
    </w:rPr>
    <w:tblPr>
      <w:tblCellMar>
        <w:top w:w="0" w:type="dxa"/>
        <w:left w:w="0" w:type="dxa"/>
        <w:bottom w:w="0" w:type="dxa"/>
        <w:right w:w="0" w:type="dxa"/>
      </w:tblCellMar>
    </w:tblPr>
  </w:style>
  <w:style w:type="character" w:customStyle="1" w:styleId="8">
    <w:name w:val="页眉 Char"/>
    <w:basedOn w:val="6"/>
    <w:link w:val="4"/>
    <w:qFormat/>
    <w:uiPriority w:val="99"/>
    <w:rPr>
      <w:rFonts w:ascii="Arial" w:hAnsi="Arial" w:eastAsia="Arial" w:cs="Arial"/>
      <w:snapToGrid w:val="0"/>
      <w:color w:val="000000"/>
      <w:kern w:val="0"/>
      <w:sz w:val="18"/>
      <w:szCs w:val="18"/>
    </w:rPr>
  </w:style>
  <w:style w:type="character" w:customStyle="1" w:styleId="9">
    <w:name w:val="页脚 Char"/>
    <w:basedOn w:val="6"/>
    <w:link w:val="3"/>
    <w:qFormat/>
    <w:uiPriority w:val="99"/>
    <w:rPr>
      <w:rFonts w:ascii="Arial" w:hAnsi="Arial" w:eastAsia="Arial" w:cs="Arial"/>
      <w:snapToGrid w:val="0"/>
      <w:color w:val="000000"/>
      <w:kern w:val="0"/>
      <w:sz w:val="18"/>
      <w:szCs w:val="18"/>
    </w:rPr>
  </w:style>
  <w:style w:type="character" w:customStyle="1" w:styleId="10">
    <w:name w:val="批注框文本 Char"/>
    <w:basedOn w:val="6"/>
    <w:link w:val="2"/>
    <w:semiHidden/>
    <w:qFormat/>
    <w:uiPriority w:val="99"/>
    <w:rPr>
      <w:rFonts w:ascii="Arial" w:hAnsi="Arial" w:eastAsia="Arial" w:cs="Arial"/>
      <w:snapToGrid w:val="0"/>
      <w:color w:val="000000"/>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601</Words>
  <Characters>3430</Characters>
  <Lines>28</Lines>
  <Paragraphs>8</Paragraphs>
  <TotalTime>3</TotalTime>
  <ScaleCrop>false</ScaleCrop>
  <LinksUpToDate>false</LinksUpToDate>
  <CharactersWithSpaces>4023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2024-01-26T01:20:00Z</dcterms:created>
  <dc:creator>SXJLY</dc:creator>
  <cp:lastModifiedBy>Admin2123</cp:lastModifiedBy>
  <cp:lastPrinted>2024-01-29T02:55:00Z</cp:lastPrinted>
  <dcterms:modified xsi:type="dcterms:W3CDTF">2025-04-14T03:23:38Z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C224A3126AC247048E9BF0D16343D990_12</vt:lpwstr>
  </property>
</Properties>
</file>