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版本号：HCXM-CS-2505-1120250606001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IT系统运维服务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HCXM-CS-2505-11</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汇成项目管理有限公司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汇成项目管理有限公司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IT系统运维服务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HCXM-CS-2505-11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IT系统运维服务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IT系统运维服务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采购包1（IT系统运维服务）：属于专门面向小微企业采购。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1、本项目的特定资格要求：（1）提供法人或者其他组织有效的营业执照、税务登记证、组织机构代码证（或统一社会信用代码的营业执照）证明文件； （2）法定代表人授权书/身份证明书：法定代表人直接参与投标的，须递交《法定代表人身份证明书》和身份证复印件。法定代表人授权代表参加投标的，须递交《法定代表人授权委托书》及授权代表身份证复印件； （3）财务状况报告：提供2023年或2024年的财务审计报告（至少包括资产负债表和利润表，成立时间至提交响应文件截止时间不足一年的可提供成立后任意时段的资产负债表），或投标文件递交截止时间前六个月内其开户银行出具的资信证明； （4）税收缴纳证明：提供2024年至今已缴纳的至少一个月的纳税证明或完税证明，依法免税的单位应提供相关证明材料； （5）社会保障资金缴纳证明：提供2024年度至今已缴存的至少一个月的社会保障资金缴存单据或社保机构开具的社会保险参保缴费情况证明，依法不需要缴纳社会保障资金的单位应提供相关证明材料； （6）供应商应在磋商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竞争性磋商文件发售之日起至磋商截止日前）并加盖供应商公章； （7）供应商应出具参加政府采购活动前3年内在经营活动中没有重大违法记录的书面声明； （8）保证金缴纳凭证或担保机构出具的保函； （9）提供履行合同所必需的设备及专业技术能力的说明及承诺。 注、本项目不接受联合体。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汇成项目管理有限公司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陕西省西安市雁塔区团结南路12号西安国际人才大厦A座北1508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刘婧莎、李亚蕊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029-68781555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开户名称：汇成项目管理有限公司（备注：缴纳时需备注项目名称、采购包号；开具保函的单位，在投标截止前一天需给代理机构交一份纸质版保函。）</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银行账号：61050192570000000294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代理服务费收费标准：中标人/成交人在领取中标通知书时，向汇成项目管理有限公司交纳招标代理服务费。服务费收费标准参照原《国家计委关于印发&lt;招标代理服务收费管理暂行办法&gt;的通知》 (计价格〔2002〕1980号)、《国家发展改革委关于降低部分建设项目收费标准规范收费行为等有关问题的通知》(发改价格〔2015〕299号)规定执行。 服务费账户信息： 户名：汇成项目管理有限公司 账号：6105 0192 5700 0000 0294 开户行：中国建设银行西安高新科技支行。具体收费金额将在成交公告中公布。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汇成项目管理有限公司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汇成项目管理有限公司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汇成项目管理有限公司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联系人：刘婧莎</w:t>
      </w:r>
    </w:p>
    <w:p>
      <w:pPr>
        <w:pStyle w:val="null3"/>
      </w:pPr>
      <w:r>
        <w:rPr>
          <w:rFonts w:ascii="仿宋_GB2312" w:hAnsi="仿宋_GB2312" w:cs="仿宋_GB2312" w:eastAsia="仿宋_GB2312"/>
        </w:rPr>
        <w:t>联系电话：029-68781555</w:t>
      </w:r>
    </w:p>
    <w:p>
      <w:pPr>
        <w:pStyle w:val="null3"/>
      </w:pPr>
      <w:r>
        <w:rPr>
          <w:rFonts w:ascii="仿宋_GB2312" w:hAnsi="仿宋_GB2312" w:cs="仿宋_GB2312" w:eastAsia="仿宋_GB2312"/>
        </w:rPr>
        <w:t>地址：陕西省西安市雁塔区团结南路12号西安国际人才大厦A座北1508</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计量科学研究院信息化设备种类、数量较多，涉及有服务器、存储设备、安全设备、行为审计设备、核心\汇聚\接入交换机、流量回溯分析设备、运维平台、安全接入、无线网络以及计算机、打印机等，设备型号近五十余种，约 600台，制造厂商 30余家。信息网络系统与各类业务密切相关，一旦发生故障，必须快速解决故障，恢复业务。为了保证园区网络及相关应用系统的稳定运行，急需采购一套一体化的运行维保服务。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IT系统运维服务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标的名称：IT系统运维服务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95" w:after="195"/>
              <w:ind w:left="15" w:firstLine="480"/>
            </w:pPr>
            <w:r>
              <w:rPr>
                <w:rFonts w:ascii="仿宋_GB2312" w:hAnsi="仿宋_GB2312" w:cs="仿宋_GB2312" w:eastAsia="仿宋_GB2312"/>
                <w:sz w:val="24"/>
                <w:color w:val="000000"/>
              </w:rPr>
              <w:t>维保服务内容</w:t>
            </w:r>
          </w:p>
          <w:p>
            <w:pPr>
              <w:pStyle w:val="null3"/>
              <w:spacing w:before="135"/>
              <w:ind w:left="15" w:firstLine="480"/>
            </w:pPr>
            <w:r>
              <w:rPr>
                <w:rFonts w:ascii="仿宋_GB2312" w:hAnsi="仿宋_GB2312" w:cs="仿宋_GB2312" w:eastAsia="仿宋_GB2312"/>
                <w:sz w:val="24"/>
                <w:color w:val="000000"/>
              </w:rPr>
              <w:t>( 一) 现有需维保的设备清单 (包括但不限于) ：</w:t>
            </w:r>
          </w:p>
          <w:tbl>
            <w:tblPr>
              <w:tblBorders>
                <w:top w:val="none" w:color="000000" w:sz="4"/>
                <w:left w:val="none" w:color="000000" w:sz="4"/>
                <w:bottom w:val="none" w:color="000000" w:sz="4"/>
                <w:right w:val="none" w:color="000000" w:sz="4"/>
                <w:insideH w:val="none"/>
                <w:insideV w:val="none"/>
              </w:tblBorders>
            </w:tblPr>
            <w:tblGrid>
              <w:gridCol w:w="232"/>
              <w:gridCol w:w="474"/>
              <w:gridCol w:w="297"/>
              <w:gridCol w:w="494"/>
              <w:gridCol w:w="206"/>
              <w:gridCol w:w="373"/>
              <w:gridCol w:w="477"/>
            </w:tblGrid>
            <w:tr>
              <w:tc>
                <w:tcPr>
                  <w:tcW w:type="dxa" w:w="232"/>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w:t>
                  </w:r>
                </w:p>
                <w:p>
                  <w:pPr>
                    <w:pStyle w:val="null3"/>
                    <w:jc w:val="center"/>
                  </w:pPr>
                  <w:r>
                    <w:rPr>
                      <w:rFonts w:ascii="仿宋_GB2312" w:hAnsi="仿宋_GB2312" w:cs="仿宋_GB2312" w:eastAsia="仿宋_GB2312"/>
                      <w:sz w:val="21"/>
                      <w:color w:val="000000"/>
                    </w:rPr>
                    <w:t>类型</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设备名称</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品牌</w:t>
                  </w:r>
                </w:p>
              </w:tc>
              <w:tc>
                <w:tcPr>
                  <w:tcW w:type="dxa" w:w="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规格型号</w:t>
                  </w:r>
                </w:p>
                <w:p>
                  <w:pPr>
                    <w:pStyle w:val="null3"/>
                    <w:jc w:val="center"/>
                  </w:pPr>
                  <w:r>
                    <w:rPr>
                      <w:rFonts w:ascii="仿宋_GB2312" w:hAnsi="仿宋_GB2312" w:cs="仿宋_GB2312" w:eastAsia="仿宋_GB2312"/>
                      <w:sz w:val="21"/>
                      <w:color w:val="000000"/>
                    </w:rPr>
                    <w:t>（仅供参考）</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p>
                  <w:pPr>
                    <w:pStyle w:val="null3"/>
                    <w:jc w:val="center"/>
                  </w:pPr>
                  <w:r>
                    <w:rPr>
                      <w:rFonts w:ascii="仿宋_GB2312" w:hAnsi="仿宋_GB2312" w:cs="仿宋_GB2312" w:eastAsia="仿宋_GB2312"/>
                      <w:sz w:val="21"/>
                      <w:color w:val="000000"/>
                    </w:rPr>
                    <w:t>（仅供参考）</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color w:val="000000"/>
                    </w:rPr>
                    <w:t>备  注</w:t>
                  </w:r>
                </w:p>
              </w:tc>
            </w:tr>
            <w:tr>
              <w:tc>
                <w:tcPr>
                  <w:tcW w:type="dxa" w:w="232"/>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服务器</w:t>
                  </w:r>
                </w:p>
                <w:p>
                  <w:pPr>
                    <w:pStyle w:val="null3"/>
                    <w:jc w:val="center"/>
                  </w:pPr>
                  <w:r>
                    <w:rPr>
                      <w:rFonts w:ascii="仿宋_GB2312" w:hAnsi="仿宋_GB2312" w:cs="仿宋_GB2312" w:eastAsia="仿宋_GB2312"/>
                      <w:sz w:val="21"/>
                      <w:color w:val="000000"/>
                    </w:rPr>
                    <w:t>设备</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服务器</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浪潮</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NF8460M4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single" w:color="000000" w:sz="4"/>
                    <w:left w:val="single" w:color="000000" w:sz="4"/>
                    <w:bottom w:val="non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服务器</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联想</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System X3850 X6</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single" w:color="000000" w:sz="4"/>
                    <w:left w:val="single" w:color="000000" w:sz="4"/>
                    <w:bottom w:val="non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光纤交换机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CN3300B</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存储</w:t>
                  </w:r>
                </w:p>
                <w:p>
                  <w:pPr>
                    <w:pStyle w:val="null3"/>
                    <w:jc w:val="center"/>
                  </w:pPr>
                  <w:r>
                    <w:rPr>
                      <w:rFonts w:ascii="仿宋_GB2312" w:hAnsi="仿宋_GB2312" w:cs="仿宋_GB2312" w:eastAsia="仿宋_GB2312"/>
                      <w:sz w:val="21"/>
                      <w:color w:val="000000"/>
                    </w:rPr>
                    <w:t>设备</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备份一体机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壹进制</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UnaDPM</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single" w:color="000000" w:sz="4"/>
                    <w:left w:val="single" w:color="000000" w:sz="4"/>
                    <w:bottom w:val="non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存储</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宏杉</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MS2500G2-25E</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存储双活</w:t>
                  </w: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网络安全设备</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日志审计</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安恒</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DAS-LOG-1000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负载均衡</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天融信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TopApp 6000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链路负载均衡</w:t>
                  </w: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防火墙</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天融信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NGFW4000-UF</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互联网出口</w:t>
                  </w: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防火墙</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安恒</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DAS-Gateway-1920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服务器前端</w:t>
                  </w: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上网行为管理</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天融信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TopACM 3000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天融信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TopRules</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内外网隔离</w:t>
                  </w: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IPS</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安恒</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DAS-ips-920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w:t>
                  </w:r>
                  <w:r>
                    <w:rPr>
                      <w:rFonts w:ascii="仿宋_GB2312" w:hAnsi="仿宋_GB2312" w:cs="仿宋_GB2312" w:eastAsia="仿宋_GB2312"/>
                      <w:sz w:val="21"/>
                      <w:color w:val="000000"/>
                    </w:rPr>
                    <w:t>AF</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安恒</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DAS- WAF-2000AG</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w:t>
                  </w:r>
                  <w:r>
                    <w:rPr>
                      <w:rFonts w:ascii="仿宋_GB2312" w:hAnsi="仿宋_GB2312" w:cs="仿宋_GB2312" w:eastAsia="仿宋_GB2312"/>
                      <w:sz w:val="21"/>
                      <w:color w:val="000000"/>
                    </w:rPr>
                    <w:t>TRUST安全网关</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深信服</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w:t>
                  </w:r>
                  <w:r>
                    <w:rPr>
                      <w:rFonts w:ascii="仿宋_GB2312" w:hAnsi="仿宋_GB2312" w:cs="仿宋_GB2312" w:eastAsia="仿宋_GB2312"/>
                      <w:sz w:val="21"/>
                      <w:color w:val="000000"/>
                    </w:rPr>
                    <w:t>TRUST-1000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流量分析系统</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科来</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NG1008TD</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堡垒机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圣博润</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NK-100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计算机</w:t>
                  </w:r>
                </w:p>
                <w:p>
                  <w:pPr>
                    <w:pStyle w:val="null3"/>
                    <w:jc w:val="center"/>
                  </w:pPr>
                  <w:r>
                    <w:rPr>
                      <w:rFonts w:ascii="仿宋_GB2312" w:hAnsi="仿宋_GB2312" w:cs="仿宋_GB2312" w:eastAsia="仿宋_GB2312"/>
                      <w:sz w:val="21"/>
                      <w:color w:val="000000"/>
                    </w:rPr>
                    <w:t>内网</w:t>
                  </w:r>
                </w:p>
                <w:p>
                  <w:pPr>
                    <w:pStyle w:val="null3"/>
                    <w:jc w:val="center"/>
                  </w:pPr>
                  <w:r>
                    <w:rPr>
                      <w:rFonts w:ascii="仿宋_GB2312" w:hAnsi="仿宋_GB2312" w:cs="仿宋_GB2312" w:eastAsia="仿宋_GB2312"/>
                      <w:sz w:val="21"/>
                      <w:color w:val="000000"/>
                    </w:rPr>
                    <w:t>系统</w:t>
                  </w:r>
                </w:p>
                <w:p>
                  <w:pPr>
                    <w:pStyle w:val="null3"/>
                    <w:jc w:val="center"/>
                  </w:pPr>
                  <w:r>
                    <w:rPr>
                      <w:rFonts w:ascii="仿宋_GB2312" w:hAnsi="仿宋_GB2312" w:cs="仿宋_GB2312" w:eastAsia="仿宋_GB2312"/>
                      <w:sz w:val="21"/>
                      <w:color w:val="000000"/>
                    </w:rPr>
                    <w:t>设备</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核心交换机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S7510E-X</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接入交换机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S5560-54Q5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数据中心接入</w:t>
                  </w: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汇聚交换机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S6520X-30QC-EI</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接入交换机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S5130S-52S-EI</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接入交换机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S5130S-28S-EI</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接入交换机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S5130S-12TP-E</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接入交换机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S5130S-52S-EI</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接入交换机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S5130S-28S-EI</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计算机</w:t>
                  </w:r>
                </w:p>
                <w:p>
                  <w:pPr>
                    <w:pStyle w:val="null3"/>
                    <w:jc w:val="center"/>
                  </w:pPr>
                  <w:r>
                    <w:rPr>
                      <w:rFonts w:ascii="仿宋_GB2312" w:hAnsi="仿宋_GB2312" w:cs="仿宋_GB2312" w:eastAsia="仿宋_GB2312"/>
                      <w:sz w:val="21"/>
                      <w:color w:val="000000"/>
                    </w:rPr>
                    <w:t>外网</w:t>
                  </w:r>
                </w:p>
                <w:p>
                  <w:pPr>
                    <w:pStyle w:val="null3"/>
                    <w:jc w:val="center"/>
                  </w:pPr>
                  <w:r>
                    <w:rPr>
                      <w:rFonts w:ascii="仿宋_GB2312" w:hAnsi="仿宋_GB2312" w:cs="仿宋_GB2312" w:eastAsia="仿宋_GB2312"/>
                      <w:sz w:val="21"/>
                      <w:color w:val="000000"/>
                    </w:rPr>
                    <w:t>系统</w:t>
                  </w:r>
                </w:p>
                <w:p>
                  <w:pPr>
                    <w:pStyle w:val="null3"/>
                    <w:jc w:val="center"/>
                  </w:pPr>
                  <w:r>
                    <w:rPr>
                      <w:rFonts w:ascii="仿宋_GB2312" w:hAnsi="仿宋_GB2312" w:cs="仿宋_GB2312" w:eastAsia="仿宋_GB2312"/>
                      <w:sz w:val="21"/>
                      <w:color w:val="000000"/>
                    </w:rPr>
                    <w:t>设备</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核心交换机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S7510E-X</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接入交换机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LS-7006X</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外网服务器接入</w:t>
                  </w: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汇聚交换机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S6520X-30QC-EI</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接入交换机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S5130S-52S-E</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接入交换机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S5130S-28S-EI</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接入交换机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S5130S-12TP-EI</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接入交换机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S5130S-52S-E</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办公室网络设备</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接入交换机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S5024PV3-Ei</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non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接入交换机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S5016PV3-Ei</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non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接入交换机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S5008PV3-Ei</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r>
                    <w:rPr>
                      <w:rFonts w:ascii="仿宋_GB2312" w:hAnsi="仿宋_GB2312" w:cs="仿宋_GB2312" w:eastAsia="仿宋_GB2312"/>
                      <w:sz w:val="21"/>
                      <w:color w:val="000000"/>
                    </w:rPr>
                    <w:t>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w:t>
                  </w:r>
                </w:p>
                <w:p>
                  <w:pPr>
                    <w:pStyle w:val="null3"/>
                    <w:jc w:val="center"/>
                  </w:pPr>
                  <w:r>
                    <w:rPr>
                      <w:rFonts w:ascii="仿宋_GB2312" w:hAnsi="仿宋_GB2312" w:cs="仿宋_GB2312" w:eastAsia="仿宋_GB2312"/>
                      <w:sz w:val="21"/>
                      <w:color w:val="000000"/>
                    </w:rPr>
                    <w:t>AP</w:t>
                  </w:r>
                </w:p>
                <w:p>
                  <w:pPr>
                    <w:pStyle w:val="null3"/>
                    <w:jc w:val="center"/>
                  </w:pPr>
                  <w:r>
                    <w:rPr>
                      <w:rFonts w:ascii="仿宋_GB2312" w:hAnsi="仿宋_GB2312" w:cs="仿宋_GB2312" w:eastAsia="仿宋_GB2312"/>
                      <w:sz w:val="21"/>
                      <w:color w:val="000000"/>
                    </w:rPr>
                    <w:t>系统</w:t>
                  </w:r>
                </w:p>
                <w:p>
                  <w:pPr>
                    <w:pStyle w:val="null3"/>
                    <w:jc w:val="center"/>
                  </w:pPr>
                  <w:r>
                    <w:rPr>
                      <w:rFonts w:ascii="仿宋_GB2312" w:hAnsi="仿宋_GB2312" w:cs="仿宋_GB2312" w:eastAsia="仿宋_GB2312"/>
                      <w:sz w:val="21"/>
                      <w:color w:val="000000"/>
                    </w:rPr>
                    <w:t>设备</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控制器</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信锐</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NAC-6350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汇聚交换机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信锐</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RS5300-28X-SI</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POE</w:t>
                  </w:r>
                  <w:r>
                    <w:rPr>
                      <w:rFonts w:ascii="仿宋_GB2312" w:hAnsi="仿宋_GB2312" w:cs="仿宋_GB2312" w:eastAsia="仿宋_GB2312"/>
                      <w:sz w:val="21"/>
                      <w:color w:val="000000"/>
                    </w:rPr>
                    <w:t>交换机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信锐</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SW-5024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室外</w:t>
                  </w:r>
                  <w:r>
                    <w:rPr>
                      <w:rFonts w:ascii="仿宋_GB2312" w:hAnsi="仿宋_GB2312" w:cs="仿宋_GB2312" w:eastAsia="仿宋_GB2312"/>
                      <w:sz w:val="21"/>
                      <w:color w:val="000000"/>
                    </w:rPr>
                    <w:t>AP</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信锐</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NAP-8100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室内</w:t>
                  </w:r>
                  <w:r>
                    <w:rPr>
                      <w:rFonts w:ascii="仿宋_GB2312" w:hAnsi="仿宋_GB2312" w:cs="仿宋_GB2312" w:eastAsia="仿宋_GB2312"/>
                      <w:sz w:val="21"/>
                      <w:color w:val="000000"/>
                    </w:rPr>
                    <w:t>AP</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信锐</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NAP-3700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室内高密</w:t>
                  </w:r>
                  <w:r>
                    <w:rPr>
                      <w:rFonts w:ascii="仿宋_GB2312" w:hAnsi="仿宋_GB2312" w:cs="仿宋_GB2312" w:eastAsia="仿宋_GB2312"/>
                      <w:sz w:val="21"/>
                      <w:color w:val="000000"/>
                    </w:rPr>
                    <w:t>AP</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信锐</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NAP-4650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虚拟化</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VMWARE</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VMWARE</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VMWARE 7.0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资源池</w:t>
                  </w:r>
                </w:p>
              </w:tc>
            </w:tr>
          </w:tbl>
          <w:p>
            <w:pPr>
              <w:pStyle w:val="null3"/>
              <w:ind w:firstLine="480"/>
            </w:pPr>
            <w:r>
              <w:rPr>
                <w:rFonts w:ascii="仿宋_GB2312" w:hAnsi="仿宋_GB2312" w:cs="仿宋_GB2312" w:eastAsia="仿宋_GB2312"/>
                <w:sz w:val="24"/>
                <w:color w:val="000000"/>
              </w:rPr>
              <w:t>除上述内容外，还包含但不限于：园区内电脑、打印机、电话机等终端设备以及部分办公室、实验室的网络改造等。</w:t>
            </w:r>
          </w:p>
          <w:p>
            <w:pPr>
              <w:pStyle w:val="null3"/>
            </w:pPr>
            <w:r>
              <w:rPr>
                <w:rFonts w:ascii="仿宋_GB2312" w:hAnsi="仿宋_GB2312" w:cs="仿宋_GB2312" w:eastAsia="仿宋_GB2312"/>
                <w:sz w:val="24"/>
                <w:color w:val="000000"/>
              </w:rPr>
              <w:t>(二) 维保服务要求 (包括但不限于)</w:t>
            </w:r>
          </w:p>
          <w:p>
            <w:pPr>
              <w:pStyle w:val="null3"/>
              <w:spacing w:before="135"/>
              <w:ind w:firstLine="240"/>
            </w:pPr>
            <w:r>
              <w:rPr>
                <w:rFonts w:ascii="仿宋_GB2312" w:hAnsi="仿宋_GB2312" w:cs="仿宋_GB2312" w:eastAsia="仿宋_GB2312"/>
                <w:sz w:val="24"/>
                <w:color w:val="000000"/>
              </w:rPr>
              <w:t>1. 软件维保服务</w:t>
            </w:r>
          </w:p>
          <w:p>
            <w:pPr>
              <w:pStyle w:val="null3"/>
              <w:spacing w:before="135"/>
              <w:ind w:left="15" w:firstLine="480"/>
            </w:pPr>
            <w:r>
              <w:rPr>
                <w:rFonts w:ascii="仿宋_GB2312" w:hAnsi="仿宋_GB2312" w:cs="仿宋_GB2312" w:eastAsia="仿宋_GB2312"/>
                <w:sz w:val="24"/>
                <w:color w:val="000000"/>
              </w:rPr>
              <w:t>对服务器、存储、虚拟化资源池、网络系统（内网、外网、无线）、安全设备、电话系统等进行日常维护，并在出现各类故障时及时进行处理。同时对软件系统进行不定期升级服务，对业务系统运行出现的性能下降等问题，进行问题定位、分析原因，并提出解决方案。</w:t>
            </w:r>
          </w:p>
          <w:p>
            <w:pPr>
              <w:pStyle w:val="null3"/>
              <w:spacing w:before="135"/>
              <w:ind w:left="15" w:firstLine="480"/>
            </w:pPr>
            <w:r>
              <w:rPr>
                <w:rFonts w:ascii="仿宋_GB2312" w:hAnsi="仿宋_GB2312" w:cs="仿宋_GB2312" w:eastAsia="仿宋_GB2312"/>
                <w:sz w:val="24"/>
                <w:color w:val="000000"/>
              </w:rPr>
              <w:t>2. 硬件维保服务</w:t>
            </w:r>
          </w:p>
          <w:p>
            <w:pPr>
              <w:pStyle w:val="null3"/>
              <w:spacing w:before="135"/>
              <w:ind w:left="15" w:firstLine="480"/>
            </w:pPr>
            <w:r>
              <w:rPr>
                <w:rFonts w:ascii="仿宋_GB2312" w:hAnsi="仿宋_GB2312" w:cs="仿宋_GB2312" w:eastAsia="仿宋_GB2312"/>
                <w:sz w:val="24"/>
                <w:color w:val="000000"/>
              </w:rPr>
              <w:t>定期检查维保设备的硬件状态，免费检测、定位及更换故障零配件，零配件的购买按照供应商零配件报价清单进行采购；同时对硬件设备内置软件系统提供升级服务；</w:t>
            </w:r>
          </w:p>
          <w:p>
            <w:pPr>
              <w:pStyle w:val="null3"/>
              <w:spacing w:before="135"/>
              <w:ind w:left="15" w:firstLine="480"/>
            </w:pPr>
            <w:r>
              <w:rPr>
                <w:rFonts w:ascii="仿宋_GB2312" w:hAnsi="仿宋_GB2312" w:cs="仿宋_GB2312" w:eastAsia="仿宋_GB2312"/>
                <w:sz w:val="24"/>
                <w:color w:val="000000"/>
              </w:rPr>
              <w:t>所有需要更换的备品备件必须是原厂全新部件，若需要更换的部件因厂家停产原因，则需得到甲方同意后，保证设备运行正常的情况下提供同样功能备件，必要时需提供备机，确保第一时间恢复故障。</w:t>
            </w:r>
          </w:p>
          <w:p>
            <w:pPr>
              <w:pStyle w:val="null3"/>
              <w:spacing w:before="135"/>
              <w:ind w:left="15" w:firstLine="480"/>
            </w:pPr>
            <w:r>
              <w:rPr>
                <w:rFonts w:ascii="仿宋_GB2312" w:hAnsi="仿宋_GB2312" w:cs="仿宋_GB2312" w:eastAsia="仿宋_GB2312"/>
                <w:sz w:val="24"/>
                <w:color w:val="000000"/>
              </w:rPr>
              <w:t>3. 定期巡检及网络环境配置优化</w:t>
            </w:r>
          </w:p>
          <w:p>
            <w:pPr>
              <w:pStyle w:val="null3"/>
              <w:spacing w:before="135"/>
              <w:ind w:left="15" w:firstLine="480"/>
            </w:pPr>
            <w:r>
              <w:rPr>
                <w:rFonts w:ascii="仿宋_GB2312" w:hAnsi="仿宋_GB2312" w:cs="仿宋_GB2312" w:eastAsia="仿宋_GB2312"/>
                <w:sz w:val="24"/>
                <w:color w:val="000000"/>
              </w:rPr>
              <w:t>需提供每月一次的巡检服务，并于巡检后</w:t>
            </w:r>
            <w:r>
              <w:rPr>
                <w:rFonts w:ascii="仿宋_GB2312" w:hAnsi="仿宋_GB2312" w:cs="仿宋_GB2312" w:eastAsia="仿宋_GB2312"/>
                <w:sz w:val="24"/>
                <w:color w:val="000000"/>
              </w:rPr>
              <w:t>5个工作日内出具巡检报告。服务期末提供服务期总体服务报告。服务期内视情况，对网络环境进行配置优化、调优等。</w:t>
            </w:r>
          </w:p>
          <w:p>
            <w:pPr>
              <w:pStyle w:val="null3"/>
              <w:spacing w:before="135"/>
              <w:ind w:left="15" w:firstLine="480"/>
            </w:pPr>
            <w:r>
              <w:rPr>
                <w:rFonts w:ascii="仿宋_GB2312" w:hAnsi="仿宋_GB2312" w:cs="仿宋_GB2312" w:eastAsia="仿宋_GB2312"/>
                <w:sz w:val="24"/>
                <w:color w:val="000000"/>
              </w:rPr>
              <w:t>4. 驻场服务</w:t>
            </w:r>
          </w:p>
          <w:p>
            <w:pPr>
              <w:pStyle w:val="null3"/>
              <w:spacing w:before="135"/>
              <w:ind w:left="15" w:firstLine="480"/>
            </w:pPr>
            <w:r>
              <w:rPr>
                <w:rFonts w:ascii="仿宋_GB2312" w:hAnsi="仿宋_GB2312" w:cs="仿宋_GB2312" w:eastAsia="仿宋_GB2312"/>
                <w:sz w:val="24"/>
                <w:color w:val="000000"/>
              </w:rPr>
              <w:t>本次项目需提供</w:t>
            </w:r>
            <w:r>
              <w:rPr>
                <w:rFonts w:ascii="仿宋_GB2312" w:hAnsi="仿宋_GB2312" w:cs="仿宋_GB2312" w:eastAsia="仿宋_GB2312"/>
                <w:sz w:val="24"/>
                <w:color w:val="000000"/>
              </w:rPr>
              <w:t>1名 7×24 小时驻场人员，第一时间受理院内报障信息，按照维护流程及时高效的处理故障。此项服务供应商应提供承诺书 (函) ，否则视为无效响应。</w:t>
            </w:r>
          </w:p>
          <w:p>
            <w:pPr>
              <w:pStyle w:val="null3"/>
              <w:spacing w:before="135"/>
              <w:ind w:left="15" w:firstLine="480"/>
            </w:pPr>
            <w:r>
              <w:rPr>
                <w:rFonts w:ascii="仿宋_GB2312" w:hAnsi="仿宋_GB2312" w:cs="仿宋_GB2312" w:eastAsia="仿宋_GB2312"/>
                <w:sz w:val="24"/>
                <w:color w:val="000000"/>
              </w:rPr>
              <w:t>驻场要求：</w:t>
            </w:r>
            <w:r>
              <w:rPr>
                <w:rFonts w:ascii="仿宋_GB2312" w:hAnsi="仿宋_GB2312" w:cs="仿宋_GB2312" w:eastAsia="仿宋_GB2312"/>
                <w:sz w:val="24"/>
                <w:color w:val="000000"/>
              </w:rPr>
              <w:t>1</w:t>
            </w:r>
            <w:r>
              <w:rPr>
                <w:rFonts w:ascii="仿宋_GB2312" w:hAnsi="仿宋_GB2312" w:cs="仿宋_GB2312" w:eastAsia="仿宋_GB2312"/>
                <w:sz w:val="24"/>
                <w:color w:val="000000"/>
              </w:rPr>
              <w:t>名，</w:t>
            </w:r>
            <w:r>
              <w:rPr>
                <w:rFonts w:ascii="仿宋_GB2312" w:hAnsi="仿宋_GB2312" w:cs="仿宋_GB2312" w:eastAsia="仿宋_GB2312"/>
                <w:sz w:val="24"/>
                <w:color w:val="000000"/>
              </w:rPr>
              <w:t>7×24</w:t>
            </w:r>
            <w:r>
              <w:rPr>
                <w:rFonts w:ascii="仿宋_GB2312" w:hAnsi="仿宋_GB2312" w:cs="仿宋_GB2312" w:eastAsia="仿宋_GB2312"/>
                <w:sz w:val="24"/>
                <w:color w:val="000000"/>
              </w:rPr>
              <w:t>小时。需具备网络设备厂家认证工程师证书、安全产品厂家认证工程师证书、操作系统厂家或虚拟化产品厂家认证工程师证书、网络分析厂家认证证书、数据安全厂家认证证书上上述中任意三类认证工程师</w:t>
            </w:r>
            <w:r>
              <w:rPr>
                <w:rFonts w:ascii="仿宋_GB2312" w:hAnsi="仿宋_GB2312" w:cs="仿宋_GB2312" w:eastAsia="仿宋_GB2312"/>
                <w:sz w:val="24"/>
                <w:color w:val="000000"/>
              </w:rPr>
              <w:t>(需提供驻场人员所在单位近 六个月内连续三个月的社保缴纳证明，否则视为非实质性响应)</w:t>
            </w:r>
            <w:r>
              <w:rPr>
                <w:rFonts w:ascii="仿宋_GB2312" w:hAnsi="仿宋_GB2312" w:cs="仿宋_GB2312" w:eastAsia="仿宋_GB2312"/>
                <w:sz w:val="24"/>
                <w:color w:val="000000"/>
              </w:rPr>
              <w:t>。</w:t>
            </w:r>
          </w:p>
          <w:p>
            <w:pPr>
              <w:pStyle w:val="null3"/>
              <w:spacing w:before="135"/>
              <w:ind w:left="15" w:firstLine="480"/>
            </w:pPr>
            <w:r>
              <w:rPr>
                <w:rFonts w:ascii="仿宋_GB2312" w:hAnsi="仿宋_GB2312" w:cs="仿宋_GB2312" w:eastAsia="仿宋_GB2312"/>
                <w:sz w:val="24"/>
                <w:color w:val="000000"/>
              </w:rPr>
              <w:t>5. 培训服务</w:t>
            </w:r>
          </w:p>
          <w:p>
            <w:pPr>
              <w:pStyle w:val="null3"/>
              <w:spacing w:before="135"/>
              <w:ind w:left="15" w:firstLine="480"/>
            </w:pPr>
            <w:r>
              <w:rPr>
                <w:rFonts w:ascii="仿宋_GB2312" w:hAnsi="仿宋_GB2312" w:cs="仿宋_GB2312" w:eastAsia="仿宋_GB2312"/>
                <w:sz w:val="24"/>
                <w:color w:val="000000"/>
              </w:rPr>
              <w:t>需要对院方指定的网络、系统管理员进行培训，服务期内培训次数不少于</w:t>
            </w:r>
            <w:r>
              <w:rPr>
                <w:rFonts w:ascii="仿宋_GB2312" w:hAnsi="仿宋_GB2312" w:cs="仿宋_GB2312" w:eastAsia="仿宋_GB2312"/>
                <w:sz w:val="24"/>
                <w:color w:val="000000"/>
              </w:rPr>
              <w:t xml:space="preserve"> 2 次，培训内容由院方指定。</w:t>
            </w:r>
          </w:p>
          <w:p>
            <w:pPr>
              <w:pStyle w:val="null3"/>
              <w:spacing w:before="135"/>
              <w:ind w:left="15" w:firstLine="480"/>
            </w:pPr>
            <w:r>
              <w:rPr>
                <w:rFonts w:ascii="仿宋_GB2312" w:hAnsi="仿宋_GB2312" w:cs="仿宋_GB2312" w:eastAsia="仿宋_GB2312"/>
                <w:sz w:val="24"/>
                <w:color w:val="000000"/>
              </w:rPr>
              <w:t>6. 其他服务</w:t>
            </w:r>
          </w:p>
          <w:p>
            <w:pPr>
              <w:pStyle w:val="null3"/>
              <w:spacing w:before="135"/>
              <w:ind w:left="15" w:firstLine="480"/>
            </w:pPr>
            <w:r>
              <w:rPr>
                <w:rFonts w:ascii="仿宋_GB2312" w:hAnsi="仿宋_GB2312" w:cs="仿宋_GB2312" w:eastAsia="仿宋_GB2312"/>
                <w:sz w:val="24"/>
                <w:color w:val="000000"/>
              </w:rPr>
              <w:t>针对院内现有网络及管理要求，提供优化服务和改造服务。另外，供应商应提供承诺书</w:t>
            </w:r>
            <w:r>
              <w:rPr>
                <w:rFonts w:ascii="仿宋_GB2312" w:hAnsi="仿宋_GB2312" w:cs="仿宋_GB2312" w:eastAsia="仿宋_GB2312"/>
                <w:sz w:val="24"/>
                <w:color w:val="000000"/>
              </w:rPr>
              <w:t>(函) ，明确承诺在运维服务期内甲方如有等保定级需求，应免费提供技术支持服务，否则视为非实质性响应。</w:t>
            </w:r>
          </w:p>
          <w:p>
            <w:pPr>
              <w:pStyle w:val="null3"/>
              <w:spacing w:before="135"/>
              <w:ind w:left="15" w:firstLine="480"/>
            </w:pPr>
            <w:r>
              <w:rPr>
                <w:rFonts w:ascii="仿宋_GB2312" w:hAnsi="仿宋_GB2312" w:cs="仿宋_GB2312" w:eastAsia="仿宋_GB2312"/>
                <w:sz w:val="24"/>
                <w:color w:val="000000"/>
              </w:rPr>
              <w:t>7. 故障处理时效要求</w:t>
            </w:r>
          </w:p>
          <w:p>
            <w:pPr>
              <w:pStyle w:val="null3"/>
              <w:spacing w:before="135"/>
              <w:ind w:left="15" w:firstLine="480"/>
            </w:pPr>
            <w:r>
              <w:rPr>
                <w:rFonts w:ascii="仿宋_GB2312" w:hAnsi="仿宋_GB2312" w:cs="仿宋_GB2312" w:eastAsia="仿宋_GB2312"/>
                <w:sz w:val="24"/>
                <w:color w:val="000000"/>
              </w:rPr>
              <w:t>根据故障的严重程度和影响程度的不同，故障级别由低到高分为四级故障、三级故障、</w:t>
            </w:r>
            <w:r>
              <w:rPr>
                <w:rFonts w:ascii="仿宋_GB2312" w:hAnsi="仿宋_GB2312" w:cs="仿宋_GB2312" w:eastAsia="仿宋_GB2312"/>
                <w:sz w:val="24"/>
                <w:color w:val="000000"/>
              </w:rPr>
              <w:t>二级故障、一级故障。当故障没有在规定时限内恢复或解决时，故障级别将自动升级。</w:t>
            </w:r>
          </w:p>
          <w:p>
            <w:pPr>
              <w:pStyle w:val="null3"/>
              <w:spacing w:before="135"/>
              <w:ind w:left="15" w:firstLine="480"/>
            </w:pPr>
            <w:r>
              <w:rPr>
                <w:rFonts w:ascii="仿宋_GB2312" w:hAnsi="仿宋_GB2312" w:cs="仿宋_GB2312" w:eastAsia="仿宋_GB2312"/>
                <w:sz w:val="24"/>
                <w:color w:val="000000"/>
              </w:rPr>
              <w:t>(1) 一级故障是指设备在运行中出现系统瘫痪或服务中断，导致设备的基本功能不能实现或全面退化的故障，其他造成业务系统中断2个小时以上或导致关键业务数据丢失的故障。</w:t>
            </w:r>
          </w:p>
          <w:p>
            <w:pPr>
              <w:pStyle w:val="null3"/>
              <w:spacing w:before="135"/>
              <w:ind w:left="15" w:firstLine="480"/>
            </w:pPr>
            <w:r>
              <w:rPr>
                <w:rFonts w:ascii="仿宋_GB2312" w:hAnsi="仿宋_GB2312" w:cs="仿宋_GB2312" w:eastAsia="仿宋_GB2312"/>
                <w:sz w:val="24"/>
                <w:color w:val="000000"/>
              </w:rPr>
              <w:t>(2) 二级故障是指系统存在局部故障或者隐患，随时都有可能会导致系统发生一级故障的故障。</w:t>
            </w:r>
          </w:p>
          <w:p>
            <w:pPr>
              <w:pStyle w:val="null3"/>
              <w:spacing w:before="135"/>
              <w:ind w:left="15" w:firstLine="480"/>
            </w:pPr>
            <w:r>
              <w:rPr>
                <w:rFonts w:ascii="仿宋_GB2312" w:hAnsi="仿宋_GB2312" w:cs="仿宋_GB2312" w:eastAsia="仿宋_GB2312"/>
                <w:sz w:val="24"/>
                <w:color w:val="000000"/>
              </w:rPr>
              <w:t>(3) 三级故障是指系统存在局部故障或者安全隐患，但是该故障基本不会导致一级故障的发生。</w:t>
            </w:r>
          </w:p>
          <w:p>
            <w:pPr>
              <w:pStyle w:val="null3"/>
              <w:spacing w:before="135"/>
              <w:ind w:left="15" w:firstLine="480"/>
            </w:pPr>
            <w:r>
              <w:rPr>
                <w:rFonts w:ascii="仿宋_GB2312" w:hAnsi="仿宋_GB2312" w:cs="仿宋_GB2312" w:eastAsia="仿宋_GB2312"/>
                <w:sz w:val="24"/>
                <w:color w:val="000000"/>
              </w:rPr>
              <w:t>(4) 四级故障是指系统存在轻微局部故障，对业务及系统基本无大的影响。</w:t>
            </w:r>
          </w:p>
          <w:p>
            <w:pPr>
              <w:pStyle w:val="null3"/>
              <w:spacing w:before="135"/>
              <w:ind w:left="15" w:firstLine="480"/>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 xml:space="preserve"> 7*24 小时电话响应，为院方提供技术支持及咨询服务，电话接通率大于98%。</w:t>
            </w:r>
          </w:p>
          <w:tbl>
            <w:tblPr>
              <w:tblInd w:type="dxa" w:w="585"/>
              <w:tblBorders>
                <w:top w:val="none" w:color="000000" w:sz="4"/>
                <w:left w:val="none" w:color="000000" w:sz="4"/>
                <w:bottom w:val="none" w:color="000000" w:sz="4"/>
                <w:right w:val="none" w:color="000000" w:sz="4"/>
                <w:insideH w:val="none"/>
                <w:insideV w:val="none"/>
              </w:tblBorders>
            </w:tblPr>
            <w:tblGrid>
              <w:gridCol w:w="986"/>
              <w:gridCol w:w="751"/>
              <w:gridCol w:w="628"/>
              <w:gridCol w:w="815"/>
            </w:tblGrid>
            <w:tr>
              <w:tc>
                <w:tcPr>
                  <w:tcW w:type="dxa" w:w="9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故障级别</w:t>
                  </w:r>
                </w:p>
              </w:tc>
              <w:tc>
                <w:tcPr>
                  <w:tcW w:type="dxa" w:w="75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到达报障现</w:t>
                  </w:r>
                </w:p>
                <w:p>
                  <w:pPr>
                    <w:pStyle w:val="null3"/>
                    <w:jc w:val="center"/>
                  </w:pPr>
                  <w:r>
                    <w:rPr>
                      <w:rFonts w:ascii="仿宋_GB2312" w:hAnsi="仿宋_GB2312" w:cs="仿宋_GB2312" w:eastAsia="仿宋_GB2312"/>
                      <w:sz w:val="21"/>
                      <w:color w:val="000000"/>
                    </w:rPr>
                    <w:t>场时间</w:t>
                  </w:r>
                </w:p>
              </w:tc>
              <w:tc>
                <w:tcPr>
                  <w:tcW w:type="dxa" w:w="62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业务恢复时间</w:t>
                  </w:r>
                </w:p>
              </w:tc>
              <w:tc>
                <w:tcPr>
                  <w:tcW w:type="dxa" w:w="81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硬件故障解决时间</w:t>
                  </w:r>
                </w:p>
                <w:p>
                  <w:pPr>
                    <w:pStyle w:val="null3"/>
                    <w:jc w:val="center"/>
                  </w:pPr>
                  <w:r>
                    <w:rPr>
                      <w:rFonts w:ascii="仿宋_GB2312" w:hAnsi="仿宋_GB2312" w:cs="仿宋_GB2312" w:eastAsia="仿宋_GB2312"/>
                      <w:sz w:val="21"/>
                      <w:color w:val="000000"/>
                    </w:rPr>
                    <w:t>(必要时更换备件)</w:t>
                  </w:r>
                </w:p>
              </w:tc>
            </w:tr>
            <w:tr>
              <w:tc>
                <w:tcPr>
                  <w:tcW w:type="dxa" w:w="9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一级：重大故障</w:t>
                  </w:r>
                </w:p>
              </w:tc>
              <w:tc>
                <w:tcPr>
                  <w:tcW w:type="dxa" w:w="7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 分钟</w:t>
                  </w:r>
                </w:p>
              </w:tc>
              <w:tc>
                <w:tcPr>
                  <w:tcW w:type="dxa" w:w="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4 小时内</w:t>
                  </w:r>
                </w:p>
              </w:tc>
              <w:tc>
                <w:tcPr>
                  <w:tcW w:type="dxa" w:w="8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 小时</w:t>
                  </w:r>
                </w:p>
              </w:tc>
            </w:tr>
            <w:tr>
              <w:tc>
                <w:tcPr>
                  <w:tcW w:type="dxa" w:w="9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二级：严重故障</w:t>
                  </w:r>
                </w:p>
              </w:tc>
              <w:tc>
                <w:tcPr>
                  <w:tcW w:type="dxa" w:w="7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 分钟</w:t>
                  </w:r>
                </w:p>
              </w:tc>
              <w:tc>
                <w:tcPr>
                  <w:tcW w:type="dxa" w:w="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4 小时内</w:t>
                  </w:r>
                </w:p>
              </w:tc>
              <w:tc>
                <w:tcPr>
                  <w:tcW w:type="dxa" w:w="8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 小时</w:t>
                  </w:r>
                </w:p>
              </w:tc>
            </w:tr>
            <w:tr>
              <w:tc>
                <w:tcPr>
                  <w:tcW w:type="dxa" w:w="9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三级：一般性技术故障</w:t>
                  </w:r>
                </w:p>
              </w:tc>
              <w:tc>
                <w:tcPr>
                  <w:tcW w:type="dxa" w:w="7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 分钟内</w:t>
                  </w:r>
                </w:p>
              </w:tc>
              <w:tc>
                <w:tcPr>
                  <w:tcW w:type="dxa" w:w="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 小时</w:t>
                  </w:r>
                </w:p>
              </w:tc>
              <w:tc>
                <w:tcPr>
                  <w:tcW w:type="dxa" w:w="8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 小时</w:t>
                  </w:r>
                </w:p>
              </w:tc>
            </w:tr>
            <w:tr>
              <w:tc>
                <w:tcPr>
                  <w:tcW w:type="dxa" w:w="9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四级：其他</w:t>
                  </w:r>
                </w:p>
              </w:tc>
              <w:tc>
                <w:tcPr>
                  <w:tcW w:type="dxa" w:w="7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 分钟内</w:t>
                  </w:r>
                </w:p>
              </w:tc>
              <w:tc>
                <w:tcPr>
                  <w:tcW w:type="dxa" w:w="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 小时</w:t>
                  </w:r>
                </w:p>
              </w:tc>
              <w:tc>
                <w:tcPr>
                  <w:tcW w:type="dxa" w:w="8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 小时</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（1)供应商须具备ITSS--“运行维护服务”或信息系统业务安全服务资质证书(CCIA)；应具有信息安全管理体系认证证书 (ISO27001) ，信息技术服务管理体系认证证书 (ISO20000)； （2) 项目经理需具备PMP项目经理证书及注册信息安全工程师证书（CISP）； （3) 项目组技术支持团队至少 5 人。需具备网络设备厂家认证工程师、安全产品厂家认证工程师、备份产品厂家认证工程师、虚拟化、数据库、操作系统、ITSS-IT 服务工程师、运维产品 (如：北塔、网强、云智慧等) 厂家认证工程师认证证书中至少三个类别的认证证书；满足运维项目实施过程中特种行业操作（电工证等）； （4) 驻场要求：1名，7×24小时。需具备网络设备厂家认证工程师证书、安全产品厂家认证工程师证书、操作系统厂家或虚拟化产品厂家认证工程师证书、网络分析厂家认证证书、数据安全厂家认证证书上上述中任意三类认证工程师（不可与技术支持团队人员重复）。</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承包人根据项目特性，自行配置投入有利于完成本项目服务各类设施设备（包含但不限于专业设备、辅助设备、工具、软件等）。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因采购人系行政单位，所有的付款均需财政部门审批，本合同履行期间，非因采购人故意拖延付款申请流程造成的逾期付款的，承包方对此予以谅解不得追究采购人的逾期付款责任。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合同签订后不少于 12 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季度考核：每3个月，甲方使用部门对驻场人员及成交单位运维团队进行考核，考核为优秀，全额支付本次约定支付的运维费用；考核为良好，支付本次约定支付的80%运维费用；考核为合格，支付本次约定支付的60%运维费用；考核为不合格，支付本次约定支付的50%运维费用。</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合同签订后，即进入驻场运维服务期，服务期满3个月支付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服务期满6个月后支付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服务期满9个月后支付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服务期满12个月后支付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驻场人员：驻场人员应熟悉园区内网络环境，未经用户同意不得随意更换，服务期内人员变动不得超过2次，否则，甲方有权按违约处罚。另外，驻场服务的认证工程师每天 24 小时驻场服务所产生的一切费用由供应商自行承担 (需提供书面承诺函，否则视为无无效文件)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参与的供应商服务全部由符合政策要求的小微企业承接。</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（1）提供法人或者其他组织有效的营业执照、税务登记证、组织机构代码证（或统一社会信用代码的营业执照）证明文件； （2）法定代表人授权书/身份证明书：法定代表人直接参与投标的，须递交《法定代表人身份证明书》和身份证复印件。法定代表人授权代表参加投标的，须递交《法定代表人授权委托书》及授权代表身份证复印件； （3）财务状况报告：提供2023年或2024年的财务审计报告（至少包括资产负债表和利润表，成立时间至提交响应文件截止时间不足一年的可提供成立后任意时段的资产负债表），或投标文件递交截止时间前六个月内其开户银行出具的资信证明； （4）税收缴纳证明：提供2024年至今已缴纳的至少一个月的纳税证明或完税证明，依法免税的单位应提供相关证明材料； （5）社会保障资金缴纳证明：提供2024年度至今已缴存的至少一个月的社会保障资金缴存单据或社保机构开具的社会保险参保缴费情况证明，依法不需要缴纳社会保障资金的单位应提供相关证明材料； （6）供应商应在磋商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竞争性磋商文件发售之日起至磋商截止日前）并加盖供应商公章； （7）供应商应出具参加政府采购活动前3年内在经营活动中没有重大违法记录的书面声明； （8）保证金缴纳凭证或担保机构出具的保函； （9）提供履行合同所必需的设备及专业技术能力的说明及承诺。 注、本项目不接受联合体。</w:t>
            </w:r>
          </w:p>
        </w:tc>
        <w:tc>
          <w:tcPr>
            <w:tcW w:type="dxa" w:w="1661"/>
          </w:tcPr>
          <w:p>
            <w:pPr>
              <w:pStyle w:val="null3"/>
            </w:pPr>
            <w:r>
              <w:rPr>
                <w:rFonts w:ascii="仿宋_GB2312" w:hAnsi="仿宋_GB2312" w:cs="仿宋_GB2312" w:eastAsia="仿宋_GB2312"/>
              </w:rPr>
              <w:t>响应文件封面 中小企业声明函 残疾人福利性单位声明函 拒绝政府采购领域商业贿赂承诺书.docx 商务应答表 供应商应提交的相关资格证明材料 响应函 监狱企业的证明文件 供应商关联承诺书.docx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投标响应文件签字盖章</w:t>
            </w:r>
          </w:p>
        </w:tc>
        <w:tc>
          <w:tcPr>
            <w:tcW w:type="dxa" w:w="3322"/>
          </w:tcPr>
          <w:p>
            <w:pPr>
              <w:pStyle w:val="null3"/>
            </w:pPr>
            <w:r>
              <w:rPr>
                <w:rFonts w:ascii="仿宋_GB2312" w:hAnsi="仿宋_GB2312" w:cs="仿宋_GB2312" w:eastAsia="仿宋_GB2312"/>
              </w:rPr>
              <w:t>符合磋商文件签字盖章的要求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投标响应文件的有效期达到磋商文件要求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结合本项目技术标准和要求，制定详细的服务方案。 1、方案内容完整科学，符合项目实际需求，得10-15分。 2、方案内容完整，基本符合项目实际需求，5-10分。 3、考虑欠缺，不完整得0-5分。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资质证书及认证证书</w:t>
            </w:r>
          </w:p>
        </w:tc>
        <w:tc>
          <w:tcPr>
            <w:tcW w:type="dxa" w:w="2492"/>
          </w:tcPr>
          <w:p>
            <w:pPr>
              <w:pStyle w:val="null3"/>
            </w:pPr>
            <w:r>
              <w:rPr>
                <w:rFonts w:ascii="仿宋_GB2312" w:hAnsi="仿宋_GB2312" w:cs="仿宋_GB2312" w:eastAsia="仿宋_GB2312"/>
              </w:rPr>
              <w:t>供应商须具备ITSS--“运行维护服务”或信息系统业务安全服务资质证书(CCIA)；应具有信息安全管理体系认证证书 (ISO27001) ，信息技术服务管理体系认证证书 (ISO20000)； 每提供一个得1分，最高3分，不提供不得分。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驻场服务时限及承诺</w:t>
            </w:r>
          </w:p>
        </w:tc>
        <w:tc>
          <w:tcPr>
            <w:tcW w:type="dxa" w:w="2492"/>
          </w:tcPr>
          <w:p>
            <w:pPr>
              <w:pStyle w:val="null3"/>
            </w:pPr>
            <w:r>
              <w:rPr>
                <w:rFonts w:ascii="仿宋_GB2312" w:hAnsi="仿宋_GB2312" w:cs="仿宋_GB2312" w:eastAsia="仿宋_GB2312"/>
              </w:rPr>
              <w:t>1、驻场要求：1名，7×24小时。需具备网络设备厂家认证工程师证书、安全产品厂家认证工程师证书、操作系统厂家认证工程师证书、虚拟化产品厂家认证工程师证书、网络分析厂家认证证书、数据安全厂家认证证书中任意三类认证工程师（不可与技术支持团队人员重复），(需提供驻场人员所在单位近六个月内连续三个月的社保缴纳证明，否则视为非实质性响应)。驻场人员除满足磋商文件要求每多提供一类认证工程师得1分，满分3分。 2、驻场人员承诺：能够第一时间受理院内报障信息，按照维护流程及时高效的处理故障。承诺内容完整响应充分得7-11分，承诺内容较简单，响应不完全得4-7分，承诺简单得1-4分，未提供得0分。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驻场服务及承诺.docx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1、项目经理需具备PMP项目经理证书及注册信息安全工程师证书（CISP）； 2、项目组技术支持团队需具备网络设备厂家认证工程师、安全产品厂家认证工程师、备份产品厂家认证工程师、虚拟化、数据库、操作系统、ITSS-IT 服务工程师、运维产品厂家认证工程师认证证书中至少三个类别的认证证书；满足运维项目实施过程中特种行业操作（电工证等）； 培训证须在有效期内，须提供所属单位的社保及劳动合同证明。项目组技术支持团队至少配备5人，配备9-10人及以上得12分，配备7-8人得8分，配备5-6人得5分。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培训服务</w:t>
            </w:r>
          </w:p>
        </w:tc>
        <w:tc>
          <w:tcPr>
            <w:tcW w:type="dxa" w:w="2492"/>
          </w:tcPr>
          <w:p>
            <w:pPr>
              <w:pStyle w:val="null3"/>
            </w:pPr>
            <w:r>
              <w:rPr>
                <w:rFonts w:ascii="仿宋_GB2312" w:hAnsi="仿宋_GB2312" w:cs="仿宋_GB2312" w:eastAsia="仿宋_GB2312"/>
              </w:rPr>
              <w:t>需要对院方指定的网络、系统管理员进行培训，服务期内培训次数不少于2次，培训内容由院方指定。 供应商制定完善可行、有针对性的培训服务方案，能够保障使用单位能熟练操作维护和正常使用。 培训服务方案详细可行得3-5分； 基本合理得1-3分；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培训服务方案.docx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维保能力及承诺</w:t>
            </w:r>
          </w:p>
        </w:tc>
        <w:tc>
          <w:tcPr>
            <w:tcW w:type="dxa" w:w="2492"/>
          </w:tcPr>
          <w:p>
            <w:pPr>
              <w:pStyle w:val="null3"/>
            </w:pPr>
            <w:r>
              <w:rPr>
                <w:rFonts w:ascii="仿宋_GB2312" w:hAnsi="仿宋_GB2312" w:cs="仿宋_GB2312" w:eastAsia="仿宋_GB2312"/>
              </w:rPr>
              <w:t>维保服务要求 (包括但不限于) 1. 软件维保服务 对服务器、存储、虚拟化资源池、网络系统（内网、外网、无线）、安全设备、电话系统等进行日常维护，并在出现各类故障时及时进行处理。同时对软件系统进行不定期升级服务，对业务系统运行出现的性能下降等问题，进行问题定位、分析原因，并提出解决方案。 2. 硬件维保服务 定期检查维保设备的硬件状态，免费检测、定位及更换故障零配件，零配件的购买按照供应商零配件报价清单进行采购；同时对硬件设备内置软件系统提供升级服务； 所有需要更换的备品备件必须是原厂全新部件，若需要更换的部件因厂家停产原因，则需得到甲方同意后，保证设备运行正常的情况下提供同样功能备件，必要时需提供备机，确保第一时间恢复故障。 3. 定期巡检及网络环境配置优化 需提供每月一次的巡检服务，并于巡检后5个工作日内出具巡检报告。服务期结束时应提供服务期总体服务报告。服务期内视情况，对网络环境进行配置优化、调优等。 内容根据响应程度，由专家自主得分。完全响应得10-16分；响应一般得5-10分；内容简单不完全响应得0-5分。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维保能力及承诺.docx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处理故障时效服务措施</w:t>
            </w:r>
          </w:p>
        </w:tc>
        <w:tc>
          <w:tcPr>
            <w:tcW w:type="dxa" w:w="2492"/>
          </w:tcPr>
          <w:p>
            <w:pPr>
              <w:pStyle w:val="null3"/>
            </w:pPr>
            <w:r>
              <w:rPr>
                <w:rFonts w:ascii="仿宋_GB2312" w:hAnsi="仿宋_GB2312" w:cs="仿宋_GB2312" w:eastAsia="仿宋_GB2312"/>
              </w:rPr>
              <w:t>根据故障的严重程度和影响程度的不同，提供有针对性的服务措施，保证服务质量，提高服务能力。提供 7*24 小时电话响应，为院方提供技术支持及咨询服务，电话接通率大于98%。 针对服务措施针对性强、合理有效得10-15分； 服务措施针对性不强、基本合理有效得5-10分； 服务措施无针对性、不合理得0-5分。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保证服务质量和服务能力，须提供2022年1月1日至今承担过类似项目的业绩，每提供一个得2分，,最高得10分。（提供合同复印件或中标通知书加盖公章）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类似项目业绩.docx</w:t>
            </w:r>
          </w:p>
        </w:tc>
      </w:tr>
      <w:tr>
        <w:tc>
          <w:tcPr>
            <w:tcW w:type="dxa" w:w="831"/>
            <w:vMerge/>
          </w:tcPr>
          <w:p/>
        </w:tc>
        <w:tc>
          <w:tcPr>
            <w:tcW w:type="dxa" w:w="1661"/>
          </w:tcPr>
          <w:p>
            <w:pPr>
              <w:pStyle w:val="null3"/>
            </w:pPr>
            <w:r>
              <w:rPr>
                <w:rFonts w:ascii="仿宋_GB2312" w:hAnsi="仿宋_GB2312" w:cs="仿宋_GB2312" w:eastAsia="仿宋_GB2312"/>
              </w:rPr>
              <w:t>价格</w:t>
            </w:r>
          </w:p>
        </w:tc>
        <w:tc>
          <w:tcPr>
            <w:tcW w:type="dxa" w:w="2492"/>
          </w:tcPr>
          <w:p>
            <w:pPr>
              <w:pStyle w:val="null3"/>
            </w:pPr>
            <w:r>
              <w:rPr>
                <w:rFonts w:ascii="仿宋_GB2312" w:hAnsi="仿宋_GB2312" w:cs="仿宋_GB2312" w:eastAsia="仿宋_GB2312"/>
              </w:rPr>
              <w:t>价格分采用低价优先法计算，即满足磋商文件要求且磋商价格最低的磋商报价为评审基准价，其价格分为满分。其他供应商的价格分统一按照下列公式计算： 磋商报价得分=（评标基准价/磋商评审价）×10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详见附件：培训服务方案.docx</w:t>
      </w:r>
    </w:p>
    <w:p>
      <w:pPr>
        <w:pStyle w:val="null3"/>
        <w:ind w:firstLine="960"/>
      </w:pPr>
      <w:r>
        <w:rPr>
          <w:rFonts w:ascii="仿宋_GB2312" w:hAnsi="仿宋_GB2312" w:cs="仿宋_GB2312" w:eastAsia="仿宋_GB2312"/>
        </w:rPr>
        <w:t>详见附件：驻场服务及承诺.docx</w:t>
      </w:r>
    </w:p>
    <w:p>
      <w:pPr>
        <w:pStyle w:val="null3"/>
        <w:ind w:firstLine="960"/>
      </w:pPr>
      <w:r>
        <w:rPr>
          <w:rFonts w:ascii="仿宋_GB2312" w:hAnsi="仿宋_GB2312" w:cs="仿宋_GB2312" w:eastAsia="仿宋_GB2312"/>
        </w:rPr>
        <w:t>详见附件：服务措施.docx</w:t>
      </w:r>
    </w:p>
    <w:p>
      <w:pPr>
        <w:pStyle w:val="null3"/>
        <w:ind w:firstLine="960"/>
      </w:pPr>
      <w:r>
        <w:rPr>
          <w:rFonts w:ascii="仿宋_GB2312" w:hAnsi="仿宋_GB2312" w:cs="仿宋_GB2312" w:eastAsia="仿宋_GB2312"/>
        </w:rPr>
        <w:t>详见附件：维保能力及承诺.docx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详见附件：IT合同.docx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